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887A2F">
        <w:rPr>
          <w:b/>
          <w:iCs/>
          <w:sz w:val="24"/>
        </w:rPr>
        <w:t xml:space="preserve"> </w:t>
      </w:r>
      <w:r w:rsidR="007D33BD">
        <w:rPr>
          <w:b/>
          <w:iCs/>
          <w:sz w:val="24"/>
        </w:rPr>
        <w:t xml:space="preserve">9 (ВЫЕЗДНОЕ, </w:t>
      </w:r>
      <w:proofErr w:type="gramStart"/>
      <w:r w:rsidR="007D33BD">
        <w:rPr>
          <w:b/>
          <w:iCs/>
          <w:sz w:val="24"/>
        </w:rPr>
        <w:t>г</w:t>
      </w:r>
      <w:proofErr w:type="gramEnd"/>
      <w:r w:rsidR="007D33BD">
        <w:rPr>
          <w:b/>
          <w:iCs/>
          <w:sz w:val="24"/>
        </w:rPr>
        <w:t>. КОТЛАС)</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7D33BD">
        <w:rPr>
          <w:b/>
          <w:sz w:val="24"/>
          <w:szCs w:val="24"/>
        </w:rPr>
        <w:t>09</w:t>
      </w:r>
      <w:r>
        <w:rPr>
          <w:b/>
          <w:sz w:val="24"/>
          <w:szCs w:val="24"/>
        </w:rPr>
        <w:t>»</w:t>
      </w:r>
      <w:r w:rsidR="00DF64AA" w:rsidRPr="00BF55F1">
        <w:rPr>
          <w:b/>
          <w:sz w:val="24"/>
          <w:szCs w:val="24"/>
        </w:rPr>
        <w:t xml:space="preserve"> </w:t>
      </w:r>
      <w:r w:rsidR="007D33BD">
        <w:rPr>
          <w:b/>
          <w:sz w:val="24"/>
          <w:szCs w:val="24"/>
        </w:rPr>
        <w:t>окт</w:t>
      </w:r>
      <w:r w:rsidR="00887A2F">
        <w:rPr>
          <w:b/>
          <w:sz w:val="24"/>
          <w:szCs w:val="24"/>
        </w:rPr>
        <w:t>ября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tbl>
      <w:tblPr>
        <w:tblW w:w="27686" w:type="dxa"/>
        <w:tblInd w:w="-12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13"/>
        <w:gridCol w:w="2355"/>
        <w:gridCol w:w="2127"/>
        <w:gridCol w:w="3729"/>
        <w:gridCol w:w="1559"/>
        <w:gridCol w:w="5103"/>
      </w:tblGrid>
      <w:tr w:rsidR="008A32AC" w:rsidTr="00FB6123">
        <w:tc>
          <w:tcPr>
            <w:tcW w:w="12813"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2127"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72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w:t>
            </w:r>
            <w:r w:rsidRPr="005366CD">
              <w:rPr>
                <w:b/>
                <w:sz w:val="20"/>
              </w:rPr>
              <w:t>к</w:t>
            </w:r>
            <w:r w:rsidRPr="005366CD">
              <w:rPr>
                <w:b/>
                <w:sz w:val="20"/>
              </w:rPr>
              <w:t>та нормативного правового акта</w:t>
            </w:r>
            <w:r w:rsidR="00B3345E" w:rsidRPr="005366CD">
              <w:rPr>
                <w:b/>
                <w:sz w:val="20"/>
              </w:rPr>
              <w:t xml:space="preserve"> /рассматриваемого вопроса</w:t>
            </w:r>
          </w:p>
        </w:tc>
        <w:tc>
          <w:tcPr>
            <w:tcW w:w="1559"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5103"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B6123">
        <w:tc>
          <w:tcPr>
            <w:tcW w:w="12813"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2127" w:type="dxa"/>
          </w:tcPr>
          <w:p w:rsidR="00B27A37" w:rsidRPr="005366CD" w:rsidRDefault="002E551F" w:rsidP="005366CD">
            <w:pPr>
              <w:pStyle w:val="a3"/>
              <w:ind w:left="-66" w:firstLine="0"/>
              <w:jc w:val="center"/>
              <w:rPr>
                <w:sz w:val="20"/>
              </w:rPr>
            </w:pPr>
            <w:r w:rsidRPr="005366CD">
              <w:rPr>
                <w:sz w:val="20"/>
              </w:rPr>
              <w:t>3</w:t>
            </w:r>
          </w:p>
        </w:tc>
        <w:tc>
          <w:tcPr>
            <w:tcW w:w="3729" w:type="dxa"/>
          </w:tcPr>
          <w:p w:rsidR="0036256D" w:rsidRPr="00EE4528" w:rsidRDefault="002E551F" w:rsidP="005366CD">
            <w:pPr>
              <w:widowControl w:val="0"/>
              <w:autoSpaceDE w:val="0"/>
              <w:autoSpaceDN w:val="0"/>
              <w:adjustRightInd w:val="0"/>
              <w:ind w:firstLine="708"/>
              <w:jc w:val="center"/>
            </w:pPr>
            <w:r>
              <w:t>4</w:t>
            </w:r>
          </w:p>
        </w:tc>
        <w:tc>
          <w:tcPr>
            <w:tcW w:w="1559" w:type="dxa"/>
          </w:tcPr>
          <w:p w:rsidR="00B27A37" w:rsidRPr="005366CD" w:rsidRDefault="002E551F" w:rsidP="005366CD">
            <w:pPr>
              <w:pStyle w:val="a3"/>
              <w:ind w:left="-76" w:right="-56" w:firstLine="0"/>
              <w:jc w:val="center"/>
              <w:rPr>
                <w:sz w:val="20"/>
              </w:rPr>
            </w:pPr>
            <w:r w:rsidRPr="005366CD">
              <w:rPr>
                <w:sz w:val="20"/>
              </w:rPr>
              <w:t>5</w:t>
            </w:r>
          </w:p>
        </w:tc>
        <w:tc>
          <w:tcPr>
            <w:tcW w:w="5103"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FB6123">
        <w:trPr>
          <w:trHeight w:val="3689"/>
        </w:trPr>
        <w:tc>
          <w:tcPr>
            <w:tcW w:w="12813" w:type="dxa"/>
          </w:tcPr>
          <w:p w:rsidR="003B0DA6" w:rsidRPr="005366CD" w:rsidRDefault="003B0DA6" w:rsidP="005366CD">
            <w:pPr>
              <w:pStyle w:val="a3"/>
              <w:ind w:firstLine="0"/>
              <w:jc w:val="center"/>
              <w:rPr>
                <w:sz w:val="20"/>
              </w:rPr>
            </w:pPr>
            <w:r>
              <w:rPr>
                <w:sz w:val="20"/>
              </w:rPr>
              <w:t>1.</w:t>
            </w:r>
          </w:p>
        </w:tc>
        <w:tc>
          <w:tcPr>
            <w:tcW w:w="2355" w:type="dxa"/>
          </w:tcPr>
          <w:p w:rsidR="003B0DA6" w:rsidRPr="0017032C" w:rsidRDefault="007D33BD" w:rsidP="007D33BD">
            <w:pPr>
              <w:pStyle w:val="a3"/>
              <w:rPr>
                <w:sz w:val="22"/>
                <w:szCs w:val="22"/>
              </w:rPr>
            </w:pPr>
            <w:r>
              <w:rPr>
                <w:sz w:val="22"/>
                <w:szCs w:val="22"/>
              </w:rPr>
              <w:t>О реализации мероприятий по по</w:t>
            </w:r>
            <w:r>
              <w:rPr>
                <w:sz w:val="22"/>
                <w:szCs w:val="22"/>
              </w:rPr>
              <w:t>д</w:t>
            </w:r>
            <w:r>
              <w:rPr>
                <w:sz w:val="22"/>
                <w:szCs w:val="22"/>
              </w:rPr>
              <w:t>готовке к отопител</w:t>
            </w:r>
            <w:r>
              <w:rPr>
                <w:sz w:val="22"/>
                <w:szCs w:val="22"/>
              </w:rPr>
              <w:t>ь</w:t>
            </w:r>
            <w:r>
              <w:rPr>
                <w:sz w:val="22"/>
                <w:szCs w:val="22"/>
              </w:rPr>
              <w:t xml:space="preserve">ному периоду 2014-2015 г.г. </w:t>
            </w:r>
          </w:p>
        </w:tc>
        <w:tc>
          <w:tcPr>
            <w:tcW w:w="2127" w:type="dxa"/>
          </w:tcPr>
          <w:p w:rsidR="00887A2F" w:rsidRPr="008B2A3C" w:rsidRDefault="00887A2F" w:rsidP="00FB6123">
            <w:pPr>
              <w:pStyle w:val="a3"/>
              <w:ind w:left="-66" w:firstLine="0"/>
              <w:jc w:val="center"/>
              <w:rPr>
                <w:sz w:val="24"/>
                <w:szCs w:val="24"/>
              </w:rPr>
            </w:pPr>
            <w:r w:rsidRPr="008B2A3C">
              <w:rPr>
                <w:sz w:val="24"/>
                <w:szCs w:val="24"/>
              </w:rPr>
              <w:t>Депутат</w:t>
            </w:r>
            <w:r w:rsidR="007D33BD" w:rsidRPr="008B2A3C">
              <w:rPr>
                <w:sz w:val="24"/>
                <w:szCs w:val="24"/>
              </w:rPr>
              <w:t>ы</w:t>
            </w:r>
          </w:p>
          <w:p w:rsidR="003B0DA6" w:rsidRPr="008B2A3C" w:rsidRDefault="00887A2F" w:rsidP="00FB6123">
            <w:pPr>
              <w:pStyle w:val="a3"/>
              <w:ind w:left="-66" w:firstLine="0"/>
              <w:jc w:val="center"/>
              <w:rPr>
                <w:sz w:val="24"/>
                <w:szCs w:val="24"/>
              </w:rPr>
            </w:pPr>
            <w:r w:rsidRPr="008B2A3C">
              <w:rPr>
                <w:sz w:val="24"/>
                <w:szCs w:val="24"/>
              </w:rPr>
              <w:t>А.О. Аннин</w:t>
            </w:r>
            <w:r w:rsidR="007D33BD" w:rsidRPr="008B2A3C">
              <w:rPr>
                <w:sz w:val="24"/>
                <w:szCs w:val="24"/>
              </w:rPr>
              <w:t>,</w:t>
            </w:r>
          </w:p>
          <w:p w:rsidR="007D33BD" w:rsidRPr="008B2A3C" w:rsidRDefault="007D33BD" w:rsidP="00FB6123">
            <w:pPr>
              <w:pStyle w:val="a3"/>
              <w:ind w:left="-66" w:firstLine="0"/>
              <w:jc w:val="center"/>
              <w:rPr>
                <w:sz w:val="24"/>
                <w:szCs w:val="24"/>
              </w:rPr>
            </w:pPr>
            <w:r w:rsidRPr="008B2A3C">
              <w:rPr>
                <w:sz w:val="24"/>
                <w:szCs w:val="24"/>
              </w:rPr>
              <w:t>А.В. Палкин,</w:t>
            </w:r>
          </w:p>
          <w:p w:rsidR="007D33BD" w:rsidRPr="008B2A3C" w:rsidRDefault="007D33BD" w:rsidP="00FB6123">
            <w:pPr>
              <w:pStyle w:val="a3"/>
              <w:ind w:left="-66" w:firstLine="0"/>
              <w:jc w:val="center"/>
              <w:rPr>
                <w:sz w:val="24"/>
                <w:szCs w:val="24"/>
              </w:rPr>
            </w:pPr>
            <w:r w:rsidRPr="008B2A3C">
              <w:rPr>
                <w:sz w:val="24"/>
                <w:szCs w:val="24"/>
              </w:rPr>
              <w:t>В.П. Попова,</w:t>
            </w:r>
          </w:p>
          <w:p w:rsidR="007D33BD" w:rsidRPr="008B2A3C" w:rsidRDefault="007D33BD" w:rsidP="00FB6123">
            <w:pPr>
              <w:pStyle w:val="a3"/>
              <w:ind w:left="-66" w:firstLine="0"/>
              <w:jc w:val="center"/>
              <w:rPr>
                <w:sz w:val="24"/>
                <w:szCs w:val="24"/>
              </w:rPr>
            </w:pPr>
            <w:r w:rsidRPr="008B2A3C">
              <w:rPr>
                <w:sz w:val="24"/>
                <w:szCs w:val="24"/>
              </w:rPr>
              <w:t>О.В. Воробьев,</w:t>
            </w:r>
          </w:p>
          <w:p w:rsidR="00FB6123" w:rsidRDefault="007D33BD" w:rsidP="00FB6123">
            <w:pPr>
              <w:pStyle w:val="a3"/>
              <w:ind w:left="-66" w:firstLine="0"/>
              <w:jc w:val="center"/>
              <w:rPr>
                <w:sz w:val="24"/>
                <w:szCs w:val="24"/>
              </w:rPr>
            </w:pPr>
            <w:r w:rsidRPr="008B2A3C">
              <w:rPr>
                <w:sz w:val="24"/>
                <w:szCs w:val="24"/>
              </w:rPr>
              <w:t xml:space="preserve">В.Н. </w:t>
            </w:r>
            <w:proofErr w:type="spellStart"/>
            <w:r w:rsidRPr="008B2A3C">
              <w:rPr>
                <w:sz w:val="24"/>
                <w:szCs w:val="24"/>
              </w:rPr>
              <w:t>Пико</w:t>
            </w:r>
            <w:r w:rsidRPr="008B2A3C">
              <w:rPr>
                <w:sz w:val="24"/>
                <w:szCs w:val="24"/>
              </w:rPr>
              <w:t>в</w:t>
            </w:r>
            <w:r w:rsidRPr="008B2A3C">
              <w:rPr>
                <w:sz w:val="24"/>
                <w:szCs w:val="24"/>
              </w:rPr>
              <w:t>ской</w:t>
            </w:r>
            <w:proofErr w:type="spellEnd"/>
            <w:r w:rsidRPr="008B2A3C">
              <w:rPr>
                <w:sz w:val="24"/>
                <w:szCs w:val="24"/>
              </w:rPr>
              <w:t xml:space="preserve">, мэр МО «Котлас» </w:t>
            </w:r>
            <w:proofErr w:type="spellStart"/>
            <w:r w:rsidRPr="008B2A3C">
              <w:rPr>
                <w:sz w:val="24"/>
                <w:szCs w:val="24"/>
              </w:rPr>
              <w:t>Бральнин</w:t>
            </w:r>
            <w:proofErr w:type="spellEnd"/>
            <w:r w:rsidRPr="008B2A3C">
              <w:rPr>
                <w:sz w:val="24"/>
                <w:szCs w:val="24"/>
              </w:rPr>
              <w:t xml:space="preserve"> А.В., начальник упра</w:t>
            </w:r>
            <w:r w:rsidRPr="008B2A3C">
              <w:rPr>
                <w:sz w:val="24"/>
                <w:szCs w:val="24"/>
              </w:rPr>
              <w:t>в</w:t>
            </w:r>
            <w:r w:rsidRPr="008B2A3C">
              <w:rPr>
                <w:sz w:val="24"/>
                <w:szCs w:val="24"/>
              </w:rPr>
              <w:t>ления городского хозяйства г. Ко</w:t>
            </w:r>
            <w:r w:rsidRPr="008B2A3C">
              <w:rPr>
                <w:sz w:val="24"/>
                <w:szCs w:val="24"/>
              </w:rPr>
              <w:t>т</w:t>
            </w:r>
            <w:r w:rsidRPr="008B2A3C">
              <w:rPr>
                <w:sz w:val="24"/>
                <w:szCs w:val="24"/>
              </w:rPr>
              <w:t xml:space="preserve">ласа  </w:t>
            </w:r>
            <w:proofErr w:type="spellStart"/>
            <w:r w:rsidRPr="008B2A3C">
              <w:rPr>
                <w:sz w:val="24"/>
                <w:szCs w:val="24"/>
              </w:rPr>
              <w:t>Норицын</w:t>
            </w:r>
            <w:proofErr w:type="spellEnd"/>
            <w:r w:rsidRPr="008B2A3C">
              <w:rPr>
                <w:sz w:val="24"/>
                <w:szCs w:val="24"/>
              </w:rPr>
              <w:t xml:space="preserve"> А.А., гл. инж</w:t>
            </w:r>
            <w:r w:rsidRPr="008B2A3C">
              <w:rPr>
                <w:sz w:val="24"/>
                <w:szCs w:val="24"/>
              </w:rPr>
              <w:t>е</w:t>
            </w:r>
            <w:r w:rsidRPr="008B2A3C">
              <w:rPr>
                <w:sz w:val="24"/>
                <w:szCs w:val="24"/>
              </w:rPr>
              <w:t>нер МУП «Водок</w:t>
            </w:r>
            <w:r w:rsidRPr="008B2A3C">
              <w:rPr>
                <w:sz w:val="24"/>
                <w:szCs w:val="24"/>
              </w:rPr>
              <w:t>а</w:t>
            </w:r>
            <w:r w:rsidRPr="008B2A3C">
              <w:rPr>
                <w:sz w:val="24"/>
                <w:szCs w:val="24"/>
              </w:rPr>
              <w:t xml:space="preserve">нал» В.И. </w:t>
            </w:r>
            <w:proofErr w:type="spellStart"/>
            <w:r w:rsidRPr="008B2A3C">
              <w:rPr>
                <w:sz w:val="24"/>
                <w:szCs w:val="24"/>
              </w:rPr>
              <w:t>Покоенок</w:t>
            </w:r>
            <w:proofErr w:type="spellEnd"/>
            <w:r w:rsidR="008B2A3C" w:rsidRPr="008B2A3C">
              <w:rPr>
                <w:sz w:val="24"/>
                <w:szCs w:val="24"/>
              </w:rPr>
              <w:t>, гл</w:t>
            </w:r>
            <w:proofErr w:type="gramStart"/>
            <w:r w:rsidR="008B2A3C" w:rsidRPr="008B2A3C">
              <w:rPr>
                <w:sz w:val="24"/>
                <w:szCs w:val="24"/>
              </w:rPr>
              <w:t>.и</w:t>
            </w:r>
            <w:proofErr w:type="gramEnd"/>
            <w:r w:rsidR="008B2A3C" w:rsidRPr="008B2A3C">
              <w:rPr>
                <w:sz w:val="24"/>
                <w:szCs w:val="24"/>
              </w:rPr>
              <w:t>нженер МУП ПОК и ТС Е</w:t>
            </w:r>
            <w:r w:rsidR="008B2A3C" w:rsidRPr="008B2A3C">
              <w:rPr>
                <w:sz w:val="24"/>
                <w:szCs w:val="24"/>
              </w:rPr>
              <w:t>р</w:t>
            </w:r>
            <w:r w:rsidR="008B2A3C" w:rsidRPr="008B2A3C">
              <w:rPr>
                <w:sz w:val="24"/>
                <w:szCs w:val="24"/>
              </w:rPr>
              <w:t>шов С.В., з</w:t>
            </w:r>
            <w:r w:rsidR="008B2A3C" w:rsidRPr="008B2A3C">
              <w:rPr>
                <w:sz w:val="24"/>
                <w:szCs w:val="24"/>
              </w:rPr>
              <w:t>а</w:t>
            </w:r>
            <w:r w:rsidR="008B2A3C" w:rsidRPr="008B2A3C">
              <w:rPr>
                <w:sz w:val="24"/>
                <w:szCs w:val="24"/>
              </w:rPr>
              <w:t>меститель директора ГБУ АО «Реги</w:t>
            </w:r>
            <w:r w:rsidR="008B2A3C" w:rsidRPr="008B2A3C">
              <w:rPr>
                <w:sz w:val="24"/>
                <w:szCs w:val="24"/>
              </w:rPr>
              <w:t>о</w:t>
            </w:r>
            <w:r w:rsidR="008B2A3C" w:rsidRPr="008B2A3C">
              <w:rPr>
                <w:sz w:val="24"/>
                <w:szCs w:val="24"/>
              </w:rPr>
              <w:t>нальный центр по энерг</w:t>
            </w:r>
            <w:r w:rsidR="008B2A3C" w:rsidRPr="008B2A3C">
              <w:rPr>
                <w:sz w:val="24"/>
                <w:szCs w:val="24"/>
              </w:rPr>
              <w:t>о</w:t>
            </w:r>
            <w:r w:rsidR="008B2A3C" w:rsidRPr="008B2A3C">
              <w:rPr>
                <w:sz w:val="24"/>
                <w:szCs w:val="24"/>
              </w:rPr>
              <w:t>сбережению»</w:t>
            </w:r>
          </w:p>
          <w:p w:rsidR="007D33BD" w:rsidRPr="008B2A3C" w:rsidRDefault="008B2A3C" w:rsidP="00FB6123">
            <w:pPr>
              <w:pStyle w:val="a3"/>
              <w:ind w:left="-66" w:firstLine="0"/>
              <w:jc w:val="center"/>
              <w:rPr>
                <w:sz w:val="24"/>
                <w:szCs w:val="24"/>
              </w:rPr>
            </w:pPr>
            <w:r w:rsidRPr="008B2A3C">
              <w:rPr>
                <w:sz w:val="24"/>
                <w:szCs w:val="24"/>
              </w:rPr>
              <w:t>Хв</w:t>
            </w:r>
            <w:r w:rsidRPr="008B2A3C">
              <w:rPr>
                <w:sz w:val="24"/>
                <w:szCs w:val="24"/>
              </w:rPr>
              <w:t>о</w:t>
            </w:r>
            <w:r w:rsidR="00FB6123">
              <w:rPr>
                <w:sz w:val="24"/>
                <w:szCs w:val="24"/>
              </w:rPr>
              <w:t>стов</w:t>
            </w:r>
            <w:r w:rsidRPr="008B2A3C">
              <w:rPr>
                <w:sz w:val="24"/>
                <w:szCs w:val="24"/>
              </w:rPr>
              <w:t xml:space="preserve"> В.Е.</w:t>
            </w:r>
          </w:p>
        </w:tc>
        <w:tc>
          <w:tcPr>
            <w:tcW w:w="3729" w:type="dxa"/>
          </w:tcPr>
          <w:p w:rsidR="003B0DA6" w:rsidRPr="007D33BD" w:rsidRDefault="007D33BD" w:rsidP="007D33BD">
            <w:pPr>
              <w:ind w:firstLine="720"/>
              <w:jc w:val="both"/>
              <w:rPr>
                <w:bCs/>
                <w:sz w:val="25"/>
                <w:szCs w:val="25"/>
              </w:rPr>
            </w:pPr>
            <w:r>
              <w:rPr>
                <w:bCs/>
                <w:sz w:val="25"/>
                <w:szCs w:val="25"/>
              </w:rPr>
              <w:t>Ознакомление с объект</w:t>
            </w:r>
            <w:r>
              <w:rPr>
                <w:bCs/>
                <w:sz w:val="25"/>
                <w:szCs w:val="25"/>
              </w:rPr>
              <w:t>а</w:t>
            </w:r>
            <w:r>
              <w:rPr>
                <w:bCs/>
                <w:sz w:val="25"/>
                <w:szCs w:val="25"/>
              </w:rPr>
              <w:t xml:space="preserve">ми на территории МО «Котлас» в целях </w:t>
            </w:r>
            <w:proofErr w:type="gramStart"/>
            <w:r>
              <w:rPr>
                <w:bCs/>
                <w:sz w:val="25"/>
                <w:szCs w:val="25"/>
              </w:rPr>
              <w:t>контроля за</w:t>
            </w:r>
            <w:proofErr w:type="gramEnd"/>
            <w:r>
              <w:rPr>
                <w:bCs/>
                <w:sz w:val="25"/>
                <w:szCs w:val="25"/>
              </w:rPr>
              <w:t xml:space="preserve"> целевым использованием субсидии из средств областного бюджета на реализацию мероприятий по модернизации и капитальному ремонту объектов ТЭК и ЖКХ А</w:t>
            </w:r>
            <w:r>
              <w:rPr>
                <w:bCs/>
                <w:sz w:val="25"/>
                <w:szCs w:val="25"/>
              </w:rPr>
              <w:t>р</w:t>
            </w:r>
            <w:r>
              <w:rPr>
                <w:bCs/>
                <w:sz w:val="25"/>
                <w:szCs w:val="25"/>
              </w:rPr>
              <w:t>хангельской области в 2014 году</w:t>
            </w:r>
          </w:p>
        </w:tc>
        <w:tc>
          <w:tcPr>
            <w:tcW w:w="1559" w:type="dxa"/>
          </w:tcPr>
          <w:p w:rsidR="003B0DA6" w:rsidRPr="0017032C" w:rsidRDefault="0017032C" w:rsidP="005366CD">
            <w:pPr>
              <w:pStyle w:val="a3"/>
              <w:ind w:left="-76" w:right="-56" w:firstLine="0"/>
              <w:jc w:val="center"/>
              <w:rPr>
                <w:sz w:val="22"/>
                <w:szCs w:val="22"/>
              </w:rPr>
            </w:pPr>
            <w:r w:rsidRPr="0017032C">
              <w:rPr>
                <w:sz w:val="22"/>
                <w:szCs w:val="22"/>
              </w:rPr>
              <w:t>план</w:t>
            </w:r>
          </w:p>
        </w:tc>
        <w:tc>
          <w:tcPr>
            <w:tcW w:w="5103" w:type="dxa"/>
          </w:tcPr>
          <w:p w:rsidR="003B0DA6" w:rsidRPr="008B2A3C" w:rsidRDefault="00FB6123" w:rsidP="00FB6123">
            <w:pPr>
              <w:pStyle w:val="40"/>
              <w:shd w:val="clear" w:color="auto" w:fill="auto"/>
              <w:spacing w:after="0" w:line="324" w:lineRule="exact"/>
              <w:ind w:right="23"/>
              <w:jc w:val="both"/>
              <w:rPr>
                <w:sz w:val="24"/>
                <w:szCs w:val="24"/>
              </w:rPr>
            </w:pPr>
            <w:r>
              <w:rPr>
                <w:sz w:val="24"/>
                <w:szCs w:val="24"/>
              </w:rPr>
              <w:t xml:space="preserve">   1.</w:t>
            </w:r>
            <w:r w:rsidR="008B2A3C" w:rsidRPr="008B2A3C">
              <w:rPr>
                <w:sz w:val="24"/>
                <w:szCs w:val="24"/>
              </w:rPr>
              <w:t>Признать</w:t>
            </w:r>
            <w:r w:rsidR="008B2A3C">
              <w:rPr>
                <w:sz w:val="24"/>
                <w:szCs w:val="24"/>
              </w:rPr>
              <w:t xml:space="preserve"> эффективное использование средств </w:t>
            </w:r>
            <w:r w:rsidR="008B2A3C">
              <w:rPr>
                <w:bCs/>
                <w:sz w:val="25"/>
                <w:szCs w:val="25"/>
              </w:rPr>
              <w:t>субсидии из средств областного бюджета на реализацию мероприятий по м</w:t>
            </w:r>
            <w:r w:rsidR="008B2A3C">
              <w:rPr>
                <w:bCs/>
                <w:sz w:val="25"/>
                <w:szCs w:val="25"/>
              </w:rPr>
              <w:t>о</w:t>
            </w:r>
            <w:r w:rsidR="008B2A3C">
              <w:rPr>
                <w:bCs/>
                <w:sz w:val="25"/>
                <w:szCs w:val="25"/>
              </w:rPr>
              <w:t>дернизации и капитальному ремонту объе</w:t>
            </w:r>
            <w:r w:rsidR="008B2A3C">
              <w:rPr>
                <w:bCs/>
                <w:sz w:val="25"/>
                <w:szCs w:val="25"/>
              </w:rPr>
              <w:t>к</w:t>
            </w:r>
            <w:r w:rsidR="008B2A3C">
              <w:rPr>
                <w:bCs/>
                <w:sz w:val="25"/>
                <w:szCs w:val="25"/>
              </w:rPr>
              <w:t>тов ТЭК и ЖКХ Архангельской области в 2014 году на те</w:t>
            </w:r>
            <w:r w:rsidR="008B2A3C">
              <w:rPr>
                <w:bCs/>
                <w:sz w:val="25"/>
                <w:szCs w:val="25"/>
              </w:rPr>
              <w:t>р</w:t>
            </w:r>
            <w:r w:rsidR="008B2A3C">
              <w:rPr>
                <w:bCs/>
                <w:sz w:val="25"/>
                <w:szCs w:val="25"/>
              </w:rPr>
              <w:t>ритории МО «Котлас» (25,7 млн. руб.)</w:t>
            </w:r>
            <w:r w:rsidR="00F13DF5">
              <w:rPr>
                <w:bCs/>
                <w:sz w:val="25"/>
                <w:szCs w:val="25"/>
              </w:rPr>
              <w:t>, а также динамику развития строящихся объектов коммунальной инфр</w:t>
            </w:r>
            <w:r w:rsidR="00F13DF5">
              <w:rPr>
                <w:bCs/>
                <w:sz w:val="25"/>
                <w:szCs w:val="25"/>
              </w:rPr>
              <w:t>а</w:t>
            </w:r>
            <w:r w:rsidR="00F13DF5">
              <w:rPr>
                <w:bCs/>
                <w:sz w:val="25"/>
                <w:szCs w:val="25"/>
              </w:rPr>
              <w:t>структуры</w:t>
            </w:r>
            <w:r w:rsidR="008B2A3C">
              <w:rPr>
                <w:bCs/>
                <w:sz w:val="25"/>
                <w:szCs w:val="25"/>
              </w:rPr>
              <w:t>.</w:t>
            </w:r>
          </w:p>
          <w:p w:rsidR="008B2A3C" w:rsidRPr="008B2A3C" w:rsidRDefault="00FB6123" w:rsidP="00FB6123">
            <w:pPr>
              <w:pStyle w:val="40"/>
              <w:shd w:val="clear" w:color="auto" w:fill="auto"/>
              <w:spacing w:after="0" w:line="324" w:lineRule="exact"/>
              <w:ind w:right="23"/>
              <w:jc w:val="both"/>
              <w:rPr>
                <w:sz w:val="24"/>
                <w:szCs w:val="24"/>
              </w:rPr>
            </w:pPr>
            <w:r>
              <w:rPr>
                <w:bCs/>
                <w:sz w:val="25"/>
                <w:szCs w:val="25"/>
              </w:rPr>
              <w:t xml:space="preserve">   2.</w:t>
            </w:r>
            <w:r w:rsidR="008B2A3C">
              <w:rPr>
                <w:bCs/>
                <w:sz w:val="25"/>
                <w:szCs w:val="25"/>
              </w:rPr>
              <w:t xml:space="preserve">Отметить объем </w:t>
            </w:r>
            <w:proofErr w:type="spellStart"/>
            <w:r w:rsidR="008B2A3C">
              <w:rPr>
                <w:bCs/>
                <w:sz w:val="25"/>
                <w:szCs w:val="25"/>
              </w:rPr>
              <w:t>софинансирования</w:t>
            </w:r>
            <w:proofErr w:type="spellEnd"/>
            <w:r w:rsidR="008B2A3C">
              <w:rPr>
                <w:bCs/>
                <w:sz w:val="25"/>
                <w:szCs w:val="25"/>
              </w:rPr>
              <w:t xml:space="preserve"> со стороны муниципального бюджета МО «Котлас» в целях привлечения областного фина</w:t>
            </w:r>
            <w:r w:rsidR="008B2A3C">
              <w:rPr>
                <w:bCs/>
                <w:sz w:val="25"/>
                <w:szCs w:val="25"/>
              </w:rPr>
              <w:t>н</w:t>
            </w:r>
            <w:r w:rsidR="008B2A3C">
              <w:rPr>
                <w:bCs/>
                <w:sz w:val="25"/>
                <w:szCs w:val="25"/>
              </w:rPr>
              <w:t>сирования в 2014 году (24,1 млн. руб.).</w:t>
            </w:r>
          </w:p>
          <w:p w:rsidR="008B2A3C" w:rsidRPr="008B2A3C" w:rsidRDefault="00FB6123" w:rsidP="00FB6123">
            <w:pPr>
              <w:pStyle w:val="40"/>
              <w:shd w:val="clear" w:color="auto" w:fill="auto"/>
              <w:spacing w:after="0" w:line="324" w:lineRule="exact"/>
              <w:ind w:right="23"/>
              <w:jc w:val="both"/>
              <w:rPr>
                <w:sz w:val="24"/>
                <w:szCs w:val="24"/>
              </w:rPr>
            </w:pPr>
            <w:r>
              <w:rPr>
                <w:bCs/>
                <w:sz w:val="25"/>
                <w:szCs w:val="25"/>
              </w:rPr>
              <w:t xml:space="preserve">   3.</w:t>
            </w:r>
            <w:r w:rsidR="008B2A3C">
              <w:rPr>
                <w:bCs/>
                <w:sz w:val="25"/>
                <w:szCs w:val="25"/>
              </w:rPr>
              <w:t>Продолжить реализацию мер</w:t>
            </w:r>
            <w:r w:rsidR="008B2A3C">
              <w:rPr>
                <w:bCs/>
                <w:sz w:val="25"/>
                <w:szCs w:val="25"/>
              </w:rPr>
              <w:t>о</w:t>
            </w:r>
            <w:r w:rsidR="008B2A3C">
              <w:rPr>
                <w:bCs/>
                <w:sz w:val="25"/>
                <w:szCs w:val="25"/>
              </w:rPr>
              <w:t>приятий по модернизации объектов коммунального х</w:t>
            </w:r>
            <w:r w:rsidR="008B2A3C">
              <w:rPr>
                <w:bCs/>
                <w:sz w:val="25"/>
                <w:szCs w:val="25"/>
              </w:rPr>
              <w:t>о</w:t>
            </w:r>
            <w:r w:rsidR="008B2A3C">
              <w:rPr>
                <w:bCs/>
                <w:sz w:val="25"/>
                <w:szCs w:val="25"/>
              </w:rPr>
              <w:t>зяйства А</w:t>
            </w:r>
            <w:r w:rsidR="008B2A3C">
              <w:rPr>
                <w:bCs/>
                <w:sz w:val="25"/>
                <w:szCs w:val="25"/>
              </w:rPr>
              <w:t>р</w:t>
            </w:r>
            <w:r w:rsidR="008B2A3C">
              <w:rPr>
                <w:bCs/>
                <w:sz w:val="25"/>
                <w:szCs w:val="25"/>
              </w:rPr>
              <w:t>хангельской области, в целях чего рекомендовать Правительству Архангел</w:t>
            </w:r>
            <w:r w:rsidR="008B2A3C">
              <w:rPr>
                <w:bCs/>
                <w:sz w:val="25"/>
                <w:szCs w:val="25"/>
              </w:rPr>
              <w:t>ь</w:t>
            </w:r>
            <w:r w:rsidR="008B2A3C">
              <w:rPr>
                <w:bCs/>
                <w:sz w:val="25"/>
                <w:szCs w:val="25"/>
              </w:rPr>
              <w:t>ской области предусмотреть в проекте обл</w:t>
            </w:r>
            <w:r w:rsidR="008B2A3C">
              <w:rPr>
                <w:bCs/>
                <w:sz w:val="25"/>
                <w:szCs w:val="25"/>
              </w:rPr>
              <w:t>а</w:t>
            </w:r>
            <w:r w:rsidR="008B2A3C">
              <w:rPr>
                <w:bCs/>
                <w:sz w:val="25"/>
                <w:szCs w:val="25"/>
              </w:rPr>
              <w:t>стного бюджета на 2014 год бюджетные а</w:t>
            </w:r>
            <w:r w:rsidR="008B2A3C">
              <w:rPr>
                <w:bCs/>
                <w:sz w:val="25"/>
                <w:szCs w:val="25"/>
              </w:rPr>
              <w:t>с</w:t>
            </w:r>
            <w:r w:rsidR="008B2A3C">
              <w:rPr>
                <w:bCs/>
                <w:sz w:val="25"/>
                <w:szCs w:val="25"/>
              </w:rPr>
              <w:t>сигнования по указанному направл</w:t>
            </w:r>
            <w:r w:rsidR="008B2A3C">
              <w:rPr>
                <w:bCs/>
                <w:sz w:val="25"/>
                <w:szCs w:val="25"/>
              </w:rPr>
              <w:t>е</w:t>
            </w:r>
            <w:r w:rsidR="008B2A3C">
              <w:rPr>
                <w:bCs/>
                <w:sz w:val="25"/>
                <w:szCs w:val="25"/>
              </w:rPr>
              <w:t>нию до 250 млн. рублей.</w:t>
            </w:r>
          </w:p>
          <w:p w:rsidR="008B2A3C" w:rsidRPr="008B2A3C" w:rsidRDefault="00FB6123" w:rsidP="00FB6123">
            <w:pPr>
              <w:pStyle w:val="40"/>
              <w:shd w:val="clear" w:color="auto" w:fill="auto"/>
              <w:spacing w:after="0" w:line="324" w:lineRule="exact"/>
              <w:ind w:right="23"/>
              <w:jc w:val="both"/>
              <w:rPr>
                <w:sz w:val="24"/>
                <w:szCs w:val="24"/>
              </w:rPr>
            </w:pPr>
            <w:r>
              <w:rPr>
                <w:bCs/>
                <w:sz w:val="25"/>
                <w:szCs w:val="25"/>
              </w:rPr>
              <w:t xml:space="preserve">   4.</w:t>
            </w:r>
            <w:r w:rsidR="008B2A3C">
              <w:rPr>
                <w:bCs/>
                <w:sz w:val="25"/>
                <w:szCs w:val="25"/>
              </w:rPr>
              <w:t>Отметить, что направление областного финансирования на мероприятия по моде</w:t>
            </w:r>
            <w:r w:rsidR="008B2A3C">
              <w:rPr>
                <w:bCs/>
                <w:sz w:val="25"/>
                <w:szCs w:val="25"/>
              </w:rPr>
              <w:t>р</w:t>
            </w:r>
            <w:r w:rsidR="008B2A3C">
              <w:rPr>
                <w:bCs/>
                <w:sz w:val="25"/>
                <w:szCs w:val="25"/>
              </w:rPr>
              <w:lastRenderedPageBreak/>
              <w:t>низации объектов коммунальной инфр</w:t>
            </w:r>
            <w:r w:rsidR="008B2A3C">
              <w:rPr>
                <w:bCs/>
                <w:sz w:val="25"/>
                <w:szCs w:val="25"/>
              </w:rPr>
              <w:t>а</w:t>
            </w:r>
            <w:r w:rsidR="008B2A3C">
              <w:rPr>
                <w:bCs/>
                <w:sz w:val="25"/>
                <w:szCs w:val="25"/>
              </w:rPr>
              <w:t>структуры в муниципальных образованиях Архангельской области повлияли на соста</w:t>
            </w:r>
            <w:r w:rsidR="008B2A3C">
              <w:rPr>
                <w:bCs/>
                <w:sz w:val="25"/>
                <w:szCs w:val="25"/>
              </w:rPr>
              <w:t>в</w:t>
            </w:r>
            <w:r w:rsidR="008B2A3C">
              <w:rPr>
                <w:bCs/>
                <w:sz w:val="25"/>
                <w:szCs w:val="25"/>
              </w:rPr>
              <w:t>ление технических паспортов на модерниз</w:t>
            </w:r>
            <w:r w:rsidR="008B2A3C">
              <w:rPr>
                <w:bCs/>
                <w:sz w:val="25"/>
                <w:szCs w:val="25"/>
              </w:rPr>
              <w:t>и</w:t>
            </w:r>
            <w:r w:rsidR="008B2A3C">
              <w:rPr>
                <w:bCs/>
                <w:sz w:val="25"/>
                <w:szCs w:val="25"/>
              </w:rPr>
              <w:t>руемые объекты и оформление муниципал</w:t>
            </w:r>
            <w:r w:rsidR="008B2A3C">
              <w:rPr>
                <w:bCs/>
                <w:sz w:val="25"/>
                <w:szCs w:val="25"/>
              </w:rPr>
              <w:t>ь</w:t>
            </w:r>
            <w:r w:rsidR="008B2A3C">
              <w:rPr>
                <w:bCs/>
                <w:sz w:val="25"/>
                <w:szCs w:val="25"/>
              </w:rPr>
              <w:t>ными образованиями собственности в соо</w:t>
            </w:r>
            <w:r w:rsidR="008B2A3C">
              <w:rPr>
                <w:bCs/>
                <w:sz w:val="25"/>
                <w:szCs w:val="25"/>
              </w:rPr>
              <w:t>т</w:t>
            </w:r>
            <w:r w:rsidR="008B2A3C">
              <w:rPr>
                <w:bCs/>
                <w:sz w:val="25"/>
                <w:szCs w:val="25"/>
              </w:rPr>
              <w:t>ветствии с требованиями действующего з</w:t>
            </w:r>
            <w:r w:rsidR="008B2A3C">
              <w:rPr>
                <w:bCs/>
                <w:sz w:val="25"/>
                <w:szCs w:val="25"/>
              </w:rPr>
              <w:t>а</w:t>
            </w:r>
            <w:r w:rsidR="008B2A3C">
              <w:rPr>
                <w:bCs/>
                <w:sz w:val="25"/>
                <w:szCs w:val="25"/>
              </w:rPr>
              <w:t>конодател</w:t>
            </w:r>
            <w:r w:rsidR="008B2A3C">
              <w:rPr>
                <w:bCs/>
                <w:sz w:val="25"/>
                <w:szCs w:val="25"/>
              </w:rPr>
              <w:t>ь</w:t>
            </w:r>
            <w:r w:rsidR="008B2A3C">
              <w:rPr>
                <w:bCs/>
                <w:sz w:val="25"/>
                <w:szCs w:val="25"/>
              </w:rPr>
              <w:t>ства.</w:t>
            </w:r>
          </w:p>
          <w:p w:rsidR="008B2A3C" w:rsidRPr="008B2A3C" w:rsidRDefault="00FB6123" w:rsidP="00FB6123">
            <w:pPr>
              <w:pStyle w:val="40"/>
              <w:shd w:val="clear" w:color="auto" w:fill="auto"/>
              <w:spacing w:after="0" w:line="324" w:lineRule="exact"/>
              <w:ind w:right="23"/>
              <w:jc w:val="both"/>
              <w:rPr>
                <w:sz w:val="24"/>
                <w:szCs w:val="24"/>
              </w:rPr>
            </w:pPr>
            <w:r>
              <w:rPr>
                <w:bCs/>
                <w:sz w:val="25"/>
                <w:szCs w:val="25"/>
              </w:rPr>
              <w:t xml:space="preserve">   5.</w:t>
            </w:r>
            <w:r w:rsidR="008B2A3C">
              <w:rPr>
                <w:bCs/>
                <w:sz w:val="25"/>
                <w:szCs w:val="25"/>
              </w:rPr>
              <w:t>Рекомендовать Правительству Арха</w:t>
            </w:r>
            <w:r w:rsidR="008B2A3C">
              <w:rPr>
                <w:bCs/>
                <w:sz w:val="25"/>
                <w:szCs w:val="25"/>
              </w:rPr>
              <w:t>н</w:t>
            </w:r>
            <w:r w:rsidR="008B2A3C">
              <w:rPr>
                <w:bCs/>
                <w:sz w:val="25"/>
                <w:szCs w:val="25"/>
              </w:rPr>
              <w:t>гельской области</w:t>
            </w:r>
            <w:r>
              <w:rPr>
                <w:bCs/>
                <w:sz w:val="25"/>
                <w:szCs w:val="25"/>
              </w:rPr>
              <w:t xml:space="preserve"> разработать подходы к з</w:t>
            </w:r>
            <w:r>
              <w:rPr>
                <w:bCs/>
                <w:sz w:val="25"/>
                <w:szCs w:val="25"/>
              </w:rPr>
              <w:t>а</w:t>
            </w:r>
            <w:r>
              <w:rPr>
                <w:bCs/>
                <w:sz w:val="25"/>
                <w:szCs w:val="25"/>
              </w:rPr>
              <w:t>конодательному закреплению ежегодного объема государственной поддержки на м</w:t>
            </w:r>
            <w:r>
              <w:rPr>
                <w:bCs/>
                <w:sz w:val="25"/>
                <w:szCs w:val="25"/>
              </w:rPr>
              <w:t>о</w:t>
            </w:r>
            <w:r>
              <w:rPr>
                <w:bCs/>
                <w:sz w:val="25"/>
                <w:szCs w:val="25"/>
              </w:rPr>
              <w:t>дернизацию коммунальной инфраструктуры Архангельской области</w:t>
            </w:r>
            <w:r w:rsidR="00F13DF5">
              <w:rPr>
                <w:bCs/>
                <w:sz w:val="25"/>
                <w:szCs w:val="25"/>
              </w:rPr>
              <w:t>, предусмотрев, в том числе, компенсацию процентных ставок по привлеченным кредитам со стороны инв</w:t>
            </w:r>
            <w:r w:rsidR="00F13DF5">
              <w:rPr>
                <w:bCs/>
                <w:sz w:val="25"/>
                <w:szCs w:val="25"/>
              </w:rPr>
              <w:t>е</w:t>
            </w:r>
            <w:r w:rsidR="00F13DF5">
              <w:rPr>
                <w:bCs/>
                <w:sz w:val="25"/>
                <w:szCs w:val="25"/>
              </w:rPr>
              <w:t>сторов в объекты ТЭК и ЖКХ Архангел</w:t>
            </w:r>
            <w:r w:rsidR="00F13DF5">
              <w:rPr>
                <w:bCs/>
                <w:sz w:val="25"/>
                <w:szCs w:val="25"/>
              </w:rPr>
              <w:t>ь</w:t>
            </w:r>
            <w:r w:rsidR="00F13DF5">
              <w:rPr>
                <w:bCs/>
                <w:sz w:val="25"/>
                <w:szCs w:val="25"/>
              </w:rPr>
              <w:t>ской области</w:t>
            </w:r>
            <w:r>
              <w:rPr>
                <w:bCs/>
                <w:sz w:val="25"/>
                <w:szCs w:val="25"/>
              </w:rPr>
              <w:t>.</w:t>
            </w:r>
          </w:p>
          <w:p w:rsidR="008B2A3C" w:rsidRDefault="00FB6123" w:rsidP="00FB6123">
            <w:pPr>
              <w:pStyle w:val="40"/>
              <w:shd w:val="clear" w:color="auto" w:fill="auto"/>
              <w:spacing w:after="0" w:line="324" w:lineRule="exact"/>
              <w:ind w:right="23"/>
              <w:jc w:val="both"/>
              <w:rPr>
                <w:sz w:val="24"/>
                <w:szCs w:val="24"/>
              </w:rPr>
            </w:pPr>
            <w:r>
              <w:rPr>
                <w:sz w:val="24"/>
                <w:szCs w:val="24"/>
              </w:rPr>
              <w:t xml:space="preserve">   6.</w:t>
            </w:r>
            <w:r w:rsidR="008B2A3C">
              <w:rPr>
                <w:sz w:val="24"/>
                <w:szCs w:val="24"/>
              </w:rPr>
              <w:t xml:space="preserve">Рекомендовать </w:t>
            </w:r>
            <w:r>
              <w:rPr>
                <w:sz w:val="24"/>
                <w:szCs w:val="24"/>
              </w:rPr>
              <w:t>министерству ТЭК и ЖКХ Архангельской области при отборе объектов по модернизации объектов ТЭК и ЖКХ А</w:t>
            </w:r>
            <w:r>
              <w:rPr>
                <w:sz w:val="24"/>
                <w:szCs w:val="24"/>
              </w:rPr>
              <w:t>р</w:t>
            </w:r>
            <w:r>
              <w:rPr>
                <w:sz w:val="24"/>
                <w:szCs w:val="24"/>
              </w:rPr>
              <w:t>хангельской области на конкурсной основе принимать и рассматривать инвестиционные проекты  с точки зрения их окупаемости и э</w:t>
            </w:r>
            <w:r>
              <w:rPr>
                <w:sz w:val="24"/>
                <w:szCs w:val="24"/>
              </w:rPr>
              <w:t>ф</w:t>
            </w:r>
            <w:r>
              <w:rPr>
                <w:sz w:val="24"/>
                <w:szCs w:val="24"/>
              </w:rPr>
              <w:t>фективности вложений бюджетных средств.</w:t>
            </w:r>
          </w:p>
          <w:p w:rsidR="00FB6123" w:rsidRDefault="00FB6123" w:rsidP="00FB6123">
            <w:pPr>
              <w:pStyle w:val="40"/>
              <w:shd w:val="clear" w:color="auto" w:fill="auto"/>
              <w:spacing w:after="0" w:line="324" w:lineRule="exact"/>
              <w:ind w:right="23"/>
              <w:jc w:val="both"/>
              <w:rPr>
                <w:sz w:val="24"/>
                <w:szCs w:val="24"/>
              </w:rPr>
            </w:pPr>
            <w:r>
              <w:rPr>
                <w:sz w:val="24"/>
                <w:szCs w:val="24"/>
              </w:rPr>
              <w:t xml:space="preserve">   7. На очередном заседании комитета ра</w:t>
            </w:r>
            <w:r>
              <w:rPr>
                <w:sz w:val="24"/>
                <w:szCs w:val="24"/>
              </w:rPr>
              <w:t>с</w:t>
            </w:r>
            <w:r>
              <w:rPr>
                <w:sz w:val="24"/>
                <w:szCs w:val="24"/>
              </w:rPr>
              <w:t>смотреть подходы по законодательному закр</w:t>
            </w:r>
            <w:r>
              <w:rPr>
                <w:sz w:val="24"/>
                <w:szCs w:val="24"/>
              </w:rPr>
              <w:t>е</w:t>
            </w:r>
            <w:r>
              <w:rPr>
                <w:sz w:val="24"/>
                <w:szCs w:val="24"/>
              </w:rPr>
              <w:t>плению на федеральном уровне вопроса о г</w:t>
            </w:r>
            <w:r>
              <w:rPr>
                <w:sz w:val="24"/>
                <w:szCs w:val="24"/>
              </w:rPr>
              <w:t>а</w:t>
            </w:r>
            <w:r>
              <w:rPr>
                <w:sz w:val="24"/>
                <w:szCs w:val="24"/>
              </w:rPr>
              <w:t xml:space="preserve">рантиях возврата инвестиций (докладчик – В.Н. </w:t>
            </w:r>
            <w:proofErr w:type="spellStart"/>
            <w:r>
              <w:rPr>
                <w:sz w:val="24"/>
                <w:szCs w:val="24"/>
              </w:rPr>
              <w:t>Пиковской</w:t>
            </w:r>
            <w:proofErr w:type="spellEnd"/>
            <w:r>
              <w:rPr>
                <w:sz w:val="24"/>
                <w:szCs w:val="24"/>
              </w:rPr>
              <w:t>).</w:t>
            </w:r>
          </w:p>
          <w:p w:rsidR="00FB6123" w:rsidRDefault="00FB6123" w:rsidP="00FB6123">
            <w:pPr>
              <w:pStyle w:val="40"/>
              <w:shd w:val="clear" w:color="auto" w:fill="auto"/>
              <w:spacing w:after="0" w:line="324" w:lineRule="exact"/>
              <w:ind w:right="23"/>
              <w:jc w:val="both"/>
              <w:rPr>
                <w:sz w:val="24"/>
                <w:szCs w:val="24"/>
              </w:rPr>
            </w:pPr>
            <w:r>
              <w:rPr>
                <w:sz w:val="24"/>
                <w:szCs w:val="24"/>
              </w:rPr>
              <w:t xml:space="preserve">   8. Подготовить обращение к собственнику </w:t>
            </w:r>
            <w:r>
              <w:rPr>
                <w:sz w:val="24"/>
                <w:szCs w:val="24"/>
              </w:rPr>
              <w:lastRenderedPageBreak/>
              <w:t xml:space="preserve">котельной </w:t>
            </w:r>
            <w:proofErr w:type="spellStart"/>
            <w:r>
              <w:rPr>
                <w:sz w:val="24"/>
                <w:szCs w:val="24"/>
              </w:rPr>
              <w:t>пос</w:t>
            </w:r>
            <w:proofErr w:type="gramStart"/>
            <w:r>
              <w:rPr>
                <w:sz w:val="24"/>
                <w:szCs w:val="24"/>
              </w:rPr>
              <w:t>.Л</w:t>
            </w:r>
            <w:proofErr w:type="gramEnd"/>
            <w:r>
              <w:rPr>
                <w:sz w:val="24"/>
                <w:szCs w:val="24"/>
              </w:rPr>
              <w:t>именда</w:t>
            </w:r>
            <w:proofErr w:type="spellEnd"/>
            <w:r>
              <w:rPr>
                <w:sz w:val="24"/>
                <w:szCs w:val="24"/>
              </w:rPr>
              <w:t xml:space="preserve"> о необходимости сн</w:t>
            </w:r>
            <w:r>
              <w:rPr>
                <w:sz w:val="24"/>
                <w:szCs w:val="24"/>
              </w:rPr>
              <w:t>и</w:t>
            </w:r>
            <w:r>
              <w:rPr>
                <w:sz w:val="24"/>
                <w:szCs w:val="24"/>
              </w:rPr>
              <w:t>жения арендной платы.</w:t>
            </w:r>
          </w:p>
          <w:p w:rsidR="00FB6123" w:rsidRDefault="00FB6123" w:rsidP="00FB6123">
            <w:pPr>
              <w:pStyle w:val="40"/>
              <w:shd w:val="clear" w:color="auto" w:fill="auto"/>
              <w:spacing w:after="0" w:line="324" w:lineRule="exact"/>
              <w:ind w:right="23"/>
              <w:jc w:val="both"/>
              <w:rPr>
                <w:sz w:val="24"/>
                <w:szCs w:val="24"/>
              </w:rPr>
            </w:pPr>
            <w:r>
              <w:rPr>
                <w:sz w:val="24"/>
                <w:szCs w:val="24"/>
              </w:rPr>
              <w:t xml:space="preserve">   9. Отметить отсутствие взаимодействия м</w:t>
            </w:r>
            <w:r>
              <w:rPr>
                <w:sz w:val="24"/>
                <w:szCs w:val="24"/>
              </w:rPr>
              <w:t>е</w:t>
            </w:r>
            <w:r>
              <w:rPr>
                <w:sz w:val="24"/>
                <w:szCs w:val="24"/>
              </w:rPr>
              <w:t>жду уполномоченными исполнительными о</w:t>
            </w:r>
            <w:r>
              <w:rPr>
                <w:sz w:val="24"/>
                <w:szCs w:val="24"/>
              </w:rPr>
              <w:t>р</w:t>
            </w:r>
            <w:r>
              <w:rPr>
                <w:sz w:val="24"/>
                <w:szCs w:val="24"/>
              </w:rPr>
              <w:t>ганами государственной власти Архангельской области (агентством по тарифам и ценам А</w:t>
            </w:r>
            <w:r>
              <w:rPr>
                <w:sz w:val="24"/>
                <w:szCs w:val="24"/>
              </w:rPr>
              <w:t>р</w:t>
            </w:r>
            <w:r>
              <w:rPr>
                <w:sz w:val="24"/>
                <w:szCs w:val="24"/>
              </w:rPr>
              <w:t xml:space="preserve">хангельской области и министерством ТЭК и ЖКХ Архангельской области) по вопросу включения инвестиционной составляющей </w:t>
            </w:r>
            <w:r w:rsidR="00F13DF5">
              <w:rPr>
                <w:sz w:val="24"/>
                <w:szCs w:val="24"/>
              </w:rPr>
              <w:t>с</w:t>
            </w:r>
            <w:r w:rsidR="00F13DF5">
              <w:rPr>
                <w:sz w:val="24"/>
                <w:szCs w:val="24"/>
              </w:rPr>
              <w:t>о</w:t>
            </w:r>
            <w:r w:rsidR="00F13DF5">
              <w:rPr>
                <w:sz w:val="24"/>
                <w:szCs w:val="24"/>
              </w:rPr>
              <w:t>гласно</w:t>
            </w:r>
            <w:r>
              <w:rPr>
                <w:sz w:val="24"/>
                <w:szCs w:val="24"/>
              </w:rPr>
              <w:t xml:space="preserve"> утвержденным ми</w:t>
            </w:r>
            <w:r w:rsidR="00F13DF5">
              <w:rPr>
                <w:sz w:val="24"/>
                <w:szCs w:val="24"/>
              </w:rPr>
              <w:t>нистерством</w:t>
            </w:r>
            <w:r>
              <w:rPr>
                <w:sz w:val="24"/>
                <w:szCs w:val="24"/>
              </w:rPr>
              <w:t xml:space="preserve"> ТЭК и ЖКХ Архангельской области инв</w:t>
            </w:r>
            <w:r w:rsidR="00F13DF5">
              <w:rPr>
                <w:sz w:val="24"/>
                <w:szCs w:val="24"/>
              </w:rPr>
              <w:t>е</w:t>
            </w:r>
            <w:r>
              <w:rPr>
                <w:sz w:val="24"/>
                <w:szCs w:val="24"/>
              </w:rPr>
              <w:t>стиционным пр</w:t>
            </w:r>
            <w:r>
              <w:rPr>
                <w:sz w:val="24"/>
                <w:szCs w:val="24"/>
              </w:rPr>
              <w:t>о</w:t>
            </w:r>
            <w:r>
              <w:rPr>
                <w:sz w:val="24"/>
                <w:szCs w:val="24"/>
              </w:rPr>
              <w:t xml:space="preserve">граммам </w:t>
            </w:r>
            <w:proofErr w:type="spellStart"/>
            <w:r>
              <w:rPr>
                <w:sz w:val="24"/>
                <w:szCs w:val="24"/>
              </w:rPr>
              <w:t>ресурсоснабжающих</w:t>
            </w:r>
            <w:proofErr w:type="spellEnd"/>
            <w:r>
              <w:rPr>
                <w:sz w:val="24"/>
                <w:szCs w:val="24"/>
              </w:rPr>
              <w:t xml:space="preserve"> организаций в тарифы на очередной календарный год (п</w:t>
            </w:r>
            <w:r>
              <w:rPr>
                <w:sz w:val="24"/>
                <w:szCs w:val="24"/>
              </w:rPr>
              <w:t>о</w:t>
            </w:r>
            <w:r>
              <w:rPr>
                <w:sz w:val="24"/>
                <w:szCs w:val="24"/>
              </w:rPr>
              <w:t>лугодие).</w:t>
            </w:r>
          </w:p>
          <w:p w:rsidR="008B2A3C" w:rsidRDefault="00F13DF5" w:rsidP="00F13DF5">
            <w:pPr>
              <w:pStyle w:val="40"/>
              <w:shd w:val="clear" w:color="auto" w:fill="auto"/>
              <w:spacing w:after="0" w:line="324" w:lineRule="exact"/>
              <w:ind w:right="23"/>
              <w:jc w:val="both"/>
              <w:rPr>
                <w:sz w:val="24"/>
                <w:szCs w:val="24"/>
              </w:rPr>
            </w:pPr>
            <w:r>
              <w:rPr>
                <w:sz w:val="24"/>
                <w:szCs w:val="24"/>
              </w:rPr>
              <w:t xml:space="preserve">   10. Рекомендовать </w:t>
            </w:r>
            <w:proofErr w:type="spellStart"/>
            <w:r>
              <w:rPr>
                <w:sz w:val="24"/>
                <w:szCs w:val="24"/>
              </w:rPr>
              <w:t>ресурсоснабжающим</w:t>
            </w:r>
            <w:proofErr w:type="spellEnd"/>
            <w:r>
              <w:rPr>
                <w:sz w:val="24"/>
                <w:szCs w:val="24"/>
              </w:rPr>
              <w:t xml:space="preserve"> о</w:t>
            </w:r>
            <w:r>
              <w:rPr>
                <w:sz w:val="24"/>
                <w:szCs w:val="24"/>
              </w:rPr>
              <w:t>р</w:t>
            </w:r>
            <w:r>
              <w:rPr>
                <w:sz w:val="24"/>
                <w:szCs w:val="24"/>
              </w:rPr>
              <w:t>ганизациям Архангельской области создать ассоциацию.</w:t>
            </w:r>
          </w:p>
          <w:p w:rsidR="00B1010C" w:rsidRPr="008B2A3C" w:rsidRDefault="00B1010C" w:rsidP="00B1010C">
            <w:pPr>
              <w:pStyle w:val="40"/>
              <w:shd w:val="clear" w:color="auto" w:fill="auto"/>
              <w:spacing w:after="0" w:line="324" w:lineRule="exact"/>
              <w:ind w:right="23"/>
              <w:jc w:val="both"/>
              <w:rPr>
                <w:sz w:val="24"/>
                <w:szCs w:val="24"/>
              </w:rPr>
            </w:pPr>
            <w:r>
              <w:rPr>
                <w:sz w:val="24"/>
                <w:szCs w:val="24"/>
              </w:rPr>
              <w:t xml:space="preserve">   11. Назначить на 21 октября 2014 года в</w:t>
            </w:r>
            <w:r>
              <w:rPr>
                <w:sz w:val="24"/>
                <w:szCs w:val="24"/>
              </w:rPr>
              <w:t>ы</w:t>
            </w:r>
            <w:r>
              <w:rPr>
                <w:sz w:val="24"/>
                <w:szCs w:val="24"/>
              </w:rPr>
              <w:t xml:space="preserve">ездное заседание комитета в </w:t>
            </w:r>
            <w:r w:rsidRPr="00B1010C">
              <w:rPr>
                <w:sz w:val="24"/>
                <w:szCs w:val="24"/>
              </w:rPr>
              <w:t>некоммерческ</w:t>
            </w:r>
            <w:r>
              <w:rPr>
                <w:sz w:val="24"/>
                <w:szCs w:val="24"/>
              </w:rPr>
              <w:t>ую</w:t>
            </w:r>
            <w:r w:rsidRPr="00B1010C">
              <w:rPr>
                <w:sz w:val="24"/>
                <w:szCs w:val="24"/>
              </w:rPr>
              <w:t xml:space="preserve"> организаци</w:t>
            </w:r>
            <w:r>
              <w:rPr>
                <w:sz w:val="24"/>
                <w:szCs w:val="24"/>
              </w:rPr>
              <w:t>ю</w:t>
            </w:r>
            <w:r w:rsidRPr="00B1010C">
              <w:rPr>
                <w:sz w:val="24"/>
                <w:szCs w:val="24"/>
              </w:rPr>
              <w:t xml:space="preserve"> «Фонд капитального ремонта многоквартирных домов Архангельской о</w:t>
            </w:r>
            <w:r w:rsidRPr="00B1010C">
              <w:rPr>
                <w:sz w:val="24"/>
                <w:szCs w:val="24"/>
              </w:rPr>
              <w:t>б</w:t>
            </w:r>
            <w:r w:rsidRPr="00B1010C">
              <w:rPr>
                <w:sz w:val="24"/>
                <w:szCs w:val="24"/>
              </w:rPr>
              <w:t>ласти»</w:t>
            </w:r>
            <w:r>
              <w:rPr>
                <w:sz w:val="24"/>
                <w:szCs w:val="24"/>
              </w:rPr>
              <w:t xml:space="preserve"> в целях </w:t>
            </w:r>
            <w:proofErr w:type="gramStart"/>
            <w:r>
              <w:rPr>
                <w:sz w:val="24"/>
                <w:szCs w:val="24"/>
              </w:rPr>
              <w:t>контроля за</w:t>
            </w:r>
            <w:proofErr w:type="gramEnd"/>
            <w:r>
              <w:rPr>
                <w:sz w:val="24"/>
                <w:szCs w:val="24"/>
              </w:rPr>
              <w:t xml:space="preserve"> организацией м</w:t>
            </w:r>
            <w:r>
              <w:rPr>
                <w:sz w:val="24"/>
                <w:szCs w:val="24"/>
              </w:rPr>
              <w:t>е</w:t>
            </w:r>
            <w:r>
              <w:rPr>
                <w:sz w:val="24"/>
                <w:szCs w:val="24"/>
              </w:rPr>
              <w:t>роприятий по капитальному ремонту общего имущества многоквартирных домов на терр</w:t>
            </w:r>
            <w:r>
              <w:rPr>
                <w:sz w:val="24"/>
                <w:szCs w:val="24"/>
              </w:rPr>
              <w:t>и</w:t>
            </w:r>
            <w:r>
              <w:rPr>
                <w:sz w:val="24"/>
                <w:szCs w:val="24"/>
              </w:rPr>
              <w:t>тории Архангельской области.</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F2" w:rsidRDefault="001921F2">
      <w:r>
        <w:separator/>
      </w:r>
    </w:p>
  </w:endnote>
  <w:endnote w:type="continuationSeparator" w:id="0">
    <w:p w:rsidR="001921F2" w:rsidRDefault="00192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F2" w:rsidRDefault="001921F2">
      <w:r>
        <w:separator/>
      </w:r>
    </w:p>
  </w:footnote>
  <w:footnote w:type="continuationSeparator" w:id="0">
    <w:p w:rsidR="001921F2" w:rsidRDefault="00192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5678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5678A"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B1010C">
      <w:rPr>
        <w:rStyle w:val="a9"/>
        <w:noProof/>
      </w:rPr>
      <w:t>3</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FE33E7"/>
    <w:multiLevelType w:val="hybridMultilevel"/>
    <w:tmpl w:val="D3086C96"/>
    <w:lvl w:ilvl="0" w:tplc="6CECFE20">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5"/>
  </w:num>
  <w:num w:numId="5">
    <w:abstractNumId w:val="2"/>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13EE"/>
    <w:rsid w:val="001921F2"/>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D33BD"/>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87A2F"/>
    <w:rsid w:val="008A1C96"/>
    <w:rsid w:val="008A32AC"/>
    <w:rsid w:val="008A3678"/>
    <w:rsid w:val="008A537B"/>
    <w:rsid w:val="008B177F"/>
    <w:rsid w:val="008B2A3C"/>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010C"/>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92D79"/>
    <w:rsid w:val="00BA034A"/>
    <w:rsid w:val="00BA114B"/>
    <w:rsid w:val="00BA70D1"/>
    <w:rsid w:val="00BB3E75"/>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5678A"/>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13DF5"/>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B6123"/>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5F2B7-780E-4B58-A90D-3E050AA3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2014-10-13T06:32:00Z</dcterms:created>
  <dcterms:modified xsi:type="dcterms:W3CDTF">2014-10-13T06:32:00Z</dcterms:modified>
</cp:coreProperties>
</file>