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9" w:rsidRPr="00346CE7" w:rsidRDefault="00D94221" w:rsidP="002704D8">
      <w:pPr>
        <w:jc w:val="center"/>
        <w:rPr>
          <w:b/>
          <w:sz w:val="26"/>
          <w:szCs w:val="26"/>
        </w:rPr>
      </w:pPr>
      <w:r w:rsidRPr="00346CE7">
        <w:rPr>
          <w:b/>
          <w:sz w:val="26"/>
          <w:szCs w:val="26"/>
        </w:rPr>
        <w:t>Пояснительная записка</w:t>
      </w:r>
    </w:p>
    <w:p w:rsidR="00CA5F49" w:rsidRPr="00346CE7" w:rsidRDefault="00CA5F49" w:rsidP="002704D8">
      <w:pPr>
        <w:jc w:val="center"/>
        <w:rPr>
          <w:b/>
          <w:sz w:val="26"/>
          <w:szCs w:val="26"/>
        </w:rPr>
      </w:pPr>
      <w:r w:rsidRPr="00346CE7">
        <w:rPr>
          <w:b/>
          <w:sz w:val="26"/>
          <w:szCs w:val="26"/>
        </w:rPr>
        <w:t>к прогнозу социально-экономического развития Архангельской области и отдельны</w:t>
      </w:r>
      <w:r w:rsidR="0067340B" w:rsidRPr="00346CE7">
        <w:rPr>
          <w:b/>
          <w:sz w:val="26"/>
          <w:szCs w:val="26"/>
        </w:rPr>
        <w:t>м</w:t>
      </w:r>
      <w:r w:rsidRPr="00346CE7">
        <w:rPr>
          <w:b/>
          <w:sz w:val="26"/>
          <w:szCs w:val="26"/>
        </w:rPr>
        <w:t xml:space="preserve"> показател</w:t>
      </w:r>
      <w:r w:rsidR="0067340B" w:rsidRPr="00346CE7">
        <w:rPr>
          <w:b/>
          <w:sz w:val="26"/>
          <w:szCs w:val="26"/>
        </w:rPr>
        <w:t>ям</w:t>
      </w:r>
      <w:r w:rsidRPr="00346CE7">
        <w:rPr>
          <w:b/>
          <w:sz w:val="26"/>
          <w:szCs w:val="26"/>
        </w:rPr>
        <w:t xml:space="preserve"> прогноза социально-экономического развития </w:t>
      </w:r>
      <w:r w:rsidR="00945753" w:rsidRPr="00346CE7">
        <w:rPr>
          <w:b/>
          <w:sz w:val="26"/>
          <w:szCs w:val="26"/>
        </w:rPr>
        <w:br/>
      </w:r>
      <w:r w:rsidRPr="00346CE7">
        <w:rPr>
          <w:b/>
          <w:sz w:val="26"/>
          <w:szCs w:val="26"/>
        </w:rPr>
        <w:t>Ненецкого автономного округа</w:t>
      </w:r>
    </w:p>
    <w:p w:rsidR="00CA5F49" w:rsidRPr="00346CE7" w:rsidRDefault="00CA5F49" w:rsidP="002704D8">
      <w:pPr>
        <w:jc w:val="center"/>
        <w:rPr>
          <w:b/>
          <w:sz w:val="26"/>
          <w:szCs w:val="26"/>
        </w:rPr>
      </w:pPr>
      <w:r w:rsidRPr="00346CE7">
        <w:rPr>
          <w:b/>
          <w:sz w:val="26"/>
          <w:szCs w:val="26"/>
        </w:rPr>
        <w:t>на 201</w:t>
      </w:r>
      <w:r w:rsidR="00AE10DD" w:rsidRPr="00346CE7">
        <w:rPr>
          <w:b/>
          <w:sz w:val="26"/>
          <w:szCs w:val="26"/>
        </w:rPr>
        <w:t>9</w:t>
      </w:r>
      <w:r w:rsidR="00D253AA" w:rsidRPr="00346CE7">
        <w:rPr>
          <w:b/>
          <w:sz w:val="26"/>
          <w:szCs w:val="26"/>
        </w:rPr>
        <w:t xml:space="preserve"> </w:t>
      </w:r>
      <w:r w:rsidRPr="00346CE7">
        <w:rPr>
          <w:b/>
          <w:sz w:val="26"/>
          <w:szCs w:val="26"/>
        </w:rPr>
        <w:t>год и плановый период до 20</w:t>
      </w:r>
      <w:r w:rsidR="00D253AA" w:rsidRPr="00346CE7">
        <w:rPr>
          <w:b/>
          <w:sz w:val="26"/>
          <w:szCs w:val="26"/>
        </w:rPr>
        <w:t>2</w:t>
      </w:r>
      <w:r w:rsidR="00AE10DD" w:rsidRPr="00346CE7">
        <w:rPr>
          <w:b/>
          <w:sz w:val="26"/>
          <w:szCs w:val="26"/>
        </w:rPr>
        <w:t>1</w:t>
      </w:r>
      <w:r w:rsidRPr="00346CE7">
        <w:rPr>
          <w:b/>
          <w:sz w:val="26"/>
          <w:szCs w:val="26"/>
        </w:rPr>
        <w:t xml:space="preserve"> года</w:t>
      </w:r>
    </w:p>
    <w:p w:rsidR="008F65A3" w:rsidRDefault="008F65A3" w:rsidP="001F2CA8">
      <w:pPr>
        <w:pStyle w:val="1"/>
        <w:spacing w:before="120" w:after="0"/>
        <w:jc w:val="both"/>
        <w:rPr>
          <w:szCs w:val="26"/>
        </w:rPr>
      </w:pPr>
    </w:p>
    <w:p w:rsidR="00BF15AC" w:rsidRPr="00346CE7" w:rsidRDefault="00BF15AC" w:rsidP="001F2CA8">
      <w:pPr>
        <w:pStyle w:val="1"/>
        <w:spacing w:before="120" w:after="0"/>
        <w:jc w:val="both"/>
        <w:rPr>
          <w:szCs w:val="26"/>
        </w:rPr>
      </w:pPr>
      <w:r w:rsidRPr="00346CE7">
        <w:rPr>
          <w:szCs w:val="26"/>
        </w:rPr>
        <w:t xml:space="preserve">Исходные условия для формирования прогноза развития на период </w:t>
      </w:r>
      <w:r w:rsidR="00170566" w:rsidRPr="00346CE7">
        <w:rPr>
          <w:szCs w:val="26"/>
        </w:rPr>
        <w:br/>
      </w:r>
      <w:r w:rsidRPr="00346CE7">
        <w:rPr>
          <w:szCs w:val="26"/>
        </w:rPr>
        <w:t>до 20</w:t>
      </w:r>
      <w:r w:rsidR="00C558EC" w:rsidRPr="00346CE7">
        <w:rPr>
          <w:szCs w:val="26"/>
        </w:rPr>
        <w:t>2</w:t>
      </w:r>
      <w:r w:rsidR="008A1FEC" w:rsidRPr="00346CE7">
        <w:rPr>
          <w:szCs w:val="26"/>
        </w:rPr>
        <w:t>1</w:t>
      </w:r>
      <w:r w:rsidRPr="00346CE7">
        <w:rPr>
          <w:szCs w:val="26"/>
        </w:rPr>
        <w:t xml:space="preserve"> года</w:t>
      </w:r>
      <w:r w:rsidR="006805BD" w:rsidRPr="00346CE7">
        <w:rPr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9"/>
        <w:gridCol w:w="1451"/>
        <w:gridCol w:w="1451"/>
        <w:gridCol w:w="1451"/>
        <w:gridCol w:w="1452"/>
      </w:tblGrid>
      <w:tr w:rsidR="008A1FEC" w:rsidRPr="003626D9" w:rsidTr="008A1FEC">
        <w:trPr>
          <w:trHeight w:val="276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:rsidR="008A1FEC" w:rsidRPr="008548E1" w:rsidRDefault="008A1FEC" w:rsidP="008A1FEC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8A1FEC" w:rsidRPr="008548E1" w:rsidRDefault="008A1FEC" w:rsidP="008A1FEC">
            <w:pPr>
              <w:spacing w:before="60" w:after="60"/>
              <w:jc w:val="center"/>
            </w:pPr>
            <w:r w:rsidRPr="008548E1">
              <w:rPr>
                <w:sz w:val="22"/>
                <w:szCs w:val="22"/>
              </w:rPr>
              <w:t>2018 год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8A1FEC" w:rsidRPr="008548E1" w:rsidRDefault="008A1FEC" w:rsidP="008A1FEC">
            <w:pPr>
              <w:spacing w:before="60" w:after="60"/>
              <w:jc w:val="center"/>
            </w:pPr>
            <w:r w:rsidRPr="008548E1">
              <w:rPr>
                <w:sz w:val="22"/>
                <w:szCs w:val="22"/>
              </w:rPr>
              <w:t>2019 год</w:t>
            </w:r>
          </w:p>
        </w:tc>
        <w:tc>
          <w:tcPr>
            <w:tcW w:w="1451" w:type="dxa"/>
            <w:vMerge w:val="restart"/>
            <w:shd w:val="clear" w:color="auto" w:fill="auto"/>
            <w:noWrap/>
            <w:vAlign w:val="center"/>
            <w:hideMark/>
          </w:tcPr>
          <w:p w:rsidR="008A1FEC" w:rsidRPr="008548E1" w:rsidRDefault="008A1FEC" w:rsidP="008A1FEC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2020</w:t>
            </w:r>
            <w:r w:rsidRPr="008548E1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548E1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:rsidR="008A1FEC" w:rsidRPr="008548E1" w:rsidRDefault="008A1FEC" w:rsidP="008A1FEC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2021</w:t>
            </w:r>
            <w:r w:rsidRPr="008548E1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548E1">
              <w:rPr>
                <w:bCs/>
                <w:sz w:val="22"/>
                <w:szCs w:val="22"/>
              </w:rPr>
              <w:t>год</w:t>
            </w:r>
          </w:p>
        </w:tc>
      </w:tr>
      <w:tr w:rsidR="00C558EC" w:rsidRPr="003626D9" w:rsidTr="008A1FEC">
        <w:trPr>
          <w:trHeight w:val="517"/>
        </w:trPr>
        <w:tc>
          <w:tcPr>
            <w:tcW w:w="3539" w:type="dxa"/>
            <w:vMerge/>
            <w:vAlign w:val="center"/>
            <w:hideMark/>
          </w:tcPr>
          <w:p w:rsidR="00C558EC" w:rsidRPr="008548E1" w:rsidRDefault="00C558EC" w:rsidP="006805BD">
            <w:pPr>
              <w:rPr>
                <w:bCs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C558EC" w:rsidRPr="008548E1" w:rsidRDefault="00C558EC" w:rsidP="00C558EC">
            <w:pPr>
              <w:rPr>
                <w:bCs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C558EC" w:rsidRPr="008548E1" w:rsidRDefault="00C558EC" w:rsidP="00C558EC">
            <w:pPr>
              <w:rPr>
                <w:bCs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:rsidR="00C558EC" w:rsidRPr="008548E1" w:rsidRDefault="00C558EC" w:rsidP="00C558EC">
            <w:pPr>
              <w:rPr>
                <w:bCs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:rsidR="00C558EC" w:rsidRPr="008548E1" w:rsidRDefault="00C558EC" w:rsidP="00C558EC">
            <w:pPr>
              <w:rPr>
                <w:bCs/>
              </w:rPr>
            </w:pPr>
          </w:p>
        </w:tc>
      </w:tr>
      <w:tr w:rsidR="00C558EC" w:rsidRPr="003626D9" w:rsidTr="008A1FEC">
        <w:tc>
          <w:tcPr>
            <w:tcW w:w="3539" w:type="dxa"/>
            <w:shd w:val="clear" w:color="auto" w:fill="auto"/>
            <w:vAlign w:val="center"/>
            <w:hideMark/>
          </w:tcPr>
          <w:p w:rsidR="00C558EC" w:rsidRPr="008548E1" w:rsidRDefault="00C558EC" w:rsidP="006805BD">
            <w:pPr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 xml:space="preserve">Цены на нефть </w:t>
            </w:r>
            <w:proofErr w:type="spellStart"/>
            <w:r w:rsidRPr="008548E1">
              <w:rPr>
                <w:bCs/>
                <w:sz w:val="22"/>
                <w:szCs w:val="22"/>
              </w:rPr>
              <w:t>Urals</w:t>
            </w:r>
            <w:proofErr w:type="spellEnd"/>
            <w:r w:rsidRPr="008548E1">
              <w:rPr>
                <w:bCs/>
                <w:sz w:val="22"/>
                <w:szCs w:val="22"/>
              </w:rPr>
              <w:t xml:space="preserve"> (мировые),</w:t>
            </w:r>
            <w:r w:rsidRPr="008548E1">
              <w:rPr>
                <w:sz w:val="22"/>
                <w:szCs w:val="22"/>
              </w:rPr>
              <w:t xml:space="preserve"> долл. / </w:t>
            </w:r>
            <w:proofErr w:type="spellStart"/>
            <w:r w:rsidRPr="008548E1">
              <w:rPr>
                <w:sz w:val="22"/>
                <w:szCs w:val="22"/>
              </w:rPr>
              <w:t>барр</w:t>
            </w:r>
            <w:proofErr w:type="spellEnd"/>
            <w:r w:rsidRPr="008548E1">
              <w:rPr>
                <w:sz w:val="22"/>
                <w:szCs w:val="22"/>
              </w:rPr>
              <w:t>.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558EC" w:rsidRPr="008548E1" w:rsidRDefault="00C558EC" w:rsidP="00C558EC">
            <w:pPr>
              <w:jc w:val="center"/>
            </w:pPr>
            <w:r w:rsidRPr="008548E1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558EC" w:rsidRPr="008548E1" w:rsidRDefault="00C558EC" w:rsidP="00C558EC">
            <w:pPr>
              <w:jc w:val="center"/>
            </w:pPr>
            <w:r w:rsidRPr="008548E1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558EC" w:rsidRPr="008548E1" w:rsidRDefault="00C558EC" w:rsidP="00C558EC">
            <w:pPr>
              <w:jc w:val="center"/>
            </w:pPr>
            <w:r w:rsidRPr="008548E1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C558EC" w:rsidRPr="008548E1" w:rsidRDefault="00C558EC" w:rsidP="00C558EC">
            <w:pPr>
              <w:jc w:val="center"/>
            </w:pPr>
            <w:r w:rsidRPr="008548E1">
              <w:rPr>
                <w:sz w:val="22"/>
                <w:szCs w:val="22"/>
              </w:rPr>
              <w:t> </w:t>
            </w:r>
          </w:p>
        </w:tc>
      </w:tr>
      <w:tr w:rsidR="00C558EC" w:rsidRPr="003626D9" w:rsidTr="008A1FEC">
        <w:tc>
          <w:tcPr>
            <w:tcW w:w="3539" w:type="dxa"/>
            <w:shd w:val="clear" w:color="auto" w:fill="auto"/>
            <w:vAlign w:val="center"/>
            <w:hideMark/>
          </w:tcPr>
          <w:p w:rsidR="00C558EC" w:rsidRPr="008548E1" w:rsidRDefault="00C558EC" w:rsidP="006805BD">
            <w:pPr>
              <w:ind w:left="454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 xml:space="preserve">Базовый 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8A1FEC" w:rsidP="00C558EC">
            <w:pPr>
              <w:jc w:val="center"/>
            </w:pPr>
            <w:r w:rsidRPr="008548E1">
              <w:rPr>
                <w:sz w:val="22"/>
                <w:szCs w:val="22"/>
              </w:rPr>
              <w:t>69,3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8A1FEC" w:rsidP="00C558EC">
            <w:pPr>
              <w:jc w:val="center"/>
            </w:pPr>
            <w:r w:rsidRPr="008548E1">
              <w:rPr>
                <w:sz w:val="22"/>
                <w:szCs w:val="22"/>
              </w:rPr>
              <w:t>63,4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8A1FEC" w:rsidP="00C558EC">
            <w:pPr>
              <w:jc w:val="center"/>
            </w:pPr>
            <w:r w:rsidRPr="008548E1">
              <w:rPr>
                <w:sz w:val="22"/>
                <w:szCs w:val="22"/>
              </w:rPr>
              <w:t>59,7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C558EC" w:rsidRPr="008548E1" w:rsidRDefault="008A1FEC" w:rsidP="00C558EC">
            <w:pPr>
              <w:jc w:val="center"/>
            </w:pPr>
            <w:r w:rsidRPr="008548E1">
              <w:rPr>
                <w:sz w:val="22"/>
                <w:szCs w:val="22"/>
              </w:rPr>
              <w:t>57,9</w:t>
            </w:r>
          </w:p>
        </w:tc>
      </w:tr>
      <w:tr w:rsidR="00C558EC" w:rsidRPr="003626D9" w:rsidTr="008A1FEC">
        <w:tc>
          <w:tcPr>
            <w:tcW w:w="3539" w:type="dxa"/>
            <w:shd w:val="clear" w:color="auto" w:fill="auto"/>
            <w:vAlign w:val="center"/>
            <w:hideMark/>
          </w:tcPr>
          <w:p w:rsidR="00C558EC" w:rsidRPr="008548E1" w:rsidRDefault="00C558EC" w:rsidP="006805BD">
            <w:pPr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Индекс потребительских цен</w:t>
            </w:r>
            <w:r w:rsidRPr="008548E1">
              <w:rPr>
                <w:sz w:val="22"/>
                <w:szCs w:val="22"/>
              </w:rPr>
              <w:t>, в</w:t>
            </w:r>
            <w:r w:rsidR="006805BD" w:rsidRPr="008548E1">
              <w:rPr>
                <w:sz w:val="22"/>
                <w:szCs w:val="22"/>
              </w:rPr>
              <w:t> </w:t>
            </w:r>
            <w:r w:rsidRPr="008548E1">
              <w:rPr>
                <w:sz w:val="22"/>
                <w:szCs w:val="22"/>
              </w:rPr>
              <w:t>среднем за год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C558EC" w:rsidP="00FF2387">
            <w:pPr>
              <w:jc w:val="center"/>
            </w:pP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C558EC" w:rsidP="00FF2387">
            <w:pPr>
              <w:jc w:val="center"/>
            </w:pP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C558EC" w:rsidP="00FF2387">
            <w:pPr>
              <w:jc w:val="center"/>
            </w:pP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C558EC" w:rsidRPr="008548E1" w:rsidRDefault="00C558EC" w:rsidP="00FF2387">
            <w:pPr>
              <w:jc w:val="center"/>
            </w:pPr>
          </w:p>
        </w:tc>
      </w:tr>
      <w:tr w:rsidR="00FF2387" w:rsidRPr="003626D9" w:rsidTr="008A1FEC">
        <w:tc>
          <w:tcPr>
            <w:tcW w:w="3539" w:type="dxa"/>
            <w:shd w:val="clear" w:color="auto" w:fill="auto"/>
            <w:vAlign w:val="center"/>
            <w:hideMark/>
          </w:tcPr>
          <w:p w:rsidR="00FF2387" w:rsidRPr="008548E1" w:rsidRDefault="00FF2387" w:rsidP="00FF2387">
            <w:pPr>
              <w:ind w:left="454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 xml:space="preserve">Базовый 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FF2387" w:rsidRPr="008548E1" w:rsidRDefault="008A1FEC" w:rsidP="00FF2387">
            <w:pPr>
              <w:jc w:val="center"/>
            </w:pPr>
            <w:r w:rsidRPr="008548E1">
              <w:rPr>
                <w:sz w:val="22"/>
                <w:szCs w:val="22"/>
              </w:rPr>
              <w:t>102,6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FF2387" w:rsidRPr="008548E1" w:rsidRDefault="008A1FEC" w:rsidP="00FF2387">
            <w:pPr>
              <w:jc w:val="center"/>
            </w:pPr>
            <w:r w:rsidRPr="008548E1">
              <w:rPr>
                <w:sz w:val="22"/>
                <w:szCs w:val="22"/>
              </w:rPr>
              <w:t>104,2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FF2387" w:rsidRPr="008548E1" w:rsidRDefault="008A1FEC" w:rsidP="00FF2387">
            <w:pPr>
              <w:jc w:val="center"/>
            </w:pPr>
            <w:r w:rsidRPr="008548E1">
              <w:rPr>
                <w:sz w:val="22"/>
                <w:szCs w:val="22"/>
              </w:rPr>
              <w:t>103,6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FF2387" w:rsidRPr="008548E1" w:rsidRDefault="00FF2387" w:rsidP="00FF2387">
            <w:pPr>
              <w:jc w:val="center"/>
            </w:pPr>
            <w:r w:rsidRPr="008548E1">
              <w:rPr>
                <w:sz w:val="22"/>
                <w:szCs w:val="22"/>
              </w:rPr>
              <w:t>104,0</w:t>
            </w:r>
          </w:p>
        </w:tc>
      </w:tr>
      <w:tr w:rsidR="00C558EC" w:rsidRPr="003626D9" w:rsidTr="008A1FEC">
        <w:tc>
          <w:tcPr>
            <w:tcW w:w="3539" w:type="dxa"/>
            <w:shd w:val="clear" w:color="auto" w:fill="auto"/>
            <w:vAlign w:val="center"/>
            <w:hideMark/>
          </w:tcPr>
          <w:p w:rsidR="00C558EC" w:rsidRPr="008548E1" w:rsidRDefault="00C558EC" w:rsidP="006805BD">
            <w:pPr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 xml:space="preserve">Курс доллара среднегодовой, </w:t>
            </w:r>
            <w:r w:rsidRPr="008548E1">
              <w:rPr>
                <w:sz w:val="22"/>
                <w:szCs w:val="22"/>
              </w:rPr>
              <w:t>рублей за доллар США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C558EC" w:rsidP="00C558EC">
            <w:pPr>
              <w:jc w:val="center"/>
            </w:pPr>
            <w:r w:rsidRPr="008548E1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C558EC" w:rsidP="00C558EC">
            <w:pPr>
              <w:jc w:val="center"/>
            </w:pPr>
            <w:r w:rsidRPr="008548E1">
              <w:rPr>
                <w:sz w:val="22"/>
                <w:szCs w:val="22"/>
              </w:rPr>
              <w:t> 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C558EC" w:rsidP="00C558EC">
            <w:pPr>
              <w:jc w:val="center"/>
            </w:pPr>
            <w:r w:rsidRPr="008548E1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C558EC" w:rsidRPr="008548E1" w:rsidRDefault="00C558EC" w:rsidP="00C558EC">
            <w:pPr>
              <w:jc w:val="center"/>
            </w:pPr>
            <w:r w:rsidRPr="008548E1">
              <w:rPr>
                <w:sz w:val="22"/>
                <w:szCs w:val="22"/>
              </w:rPr>
              <w:t> </w:t>
            </w:r>
          </w:p>
        </w:tc>
      </w:tr>
      <w:tr w:rsidR="00C558EC" w:rsidRPr="003626D9" w:rsidTr="008A1FEC">
        <w:tc>
          <w:tcPr>
            <w:tcW w:w="3539" w:type="dxa"/>
            <w:shd w:val="clear" w:color="auto" w:fill="auto"/>
            <w:vAlign w:val="center"/>
            <w:hideMark/>
          </w:tcPr>
          <w:p w:rsidR="00C558EC" w:rsidRPr="008548E1" w:rsidRDefault="00C558EC" w:rsidP="006805BD">
            <w:pPr>
              <w:ind w:left="454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 xml:space="preserve">Базовый 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7532E4" w:rsidP="00C558EC">
            <w:pPr>
              <w:jc w:val="center"/>
            </w:pPr>
            <w:r w:rsidRPr="008548E1">
              <w:rPr>
                <w:sz w:val="22"/>
                <w:szCs w:val="22"/>
              </w:rPr>
              <w:t>60,8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7532E4" w:rsidP="00C558EC">
            <w:pPr>
              <w:jc w:val="center"/>
            </w:pPr>
            <w:r w:rsidRPr="008548E1">
              <w:rPr>
                <w:sz w:val="22"/>
                <w:szCs w:val="22"/>
              </w:rPr>
              <w:t>63,2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  <w:hideMark/>
          </w:tcPr>
          <w:p w:rsidR="00C558EC" w:rsidRPr="008548E1" w:rsidRDefault="007532E4" w:rsidP="00C558EC">
            <w:pPr>
              <w:jc w:val="center"/>
            </w:pPr>
            <w:r w:rsidRPr="008548E1">
              <w:rPr>
                <w:sz w:val="22"/>
                <w:szCs w:val="22"/>
              </w:rPr>
              <w:t>63,8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C558EC" w:rsidRPr="008548E1" w:rsidRDefault="007532E4" w:rsidP="00C558EC">
            <w:pPr>
              <w:jc w:val="center"/>
            </w:pPr>
            <w:r w:rsidRPr="008548E1">
              <w:rPr>
                <w:sz w:val="22"/>
                <w:szCs w:val="22"/>
              </w:rPr>
              <w:t>64,0</w:t>
            </w:r>
          </w:p>
        </w:tc>
      </w:tr>
    </w:tbl>
    <w:p w:rsidR="00255D06" w:rsidRPr="008548E1" w:rsidRDefault="00255D06" w:rsidP="00D94221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B92AFE" w:rsidRPr="008548E1" w:rsidRDefault="00F7197F" w:rsidP="00B92AFE">
      <w:pPr>
        <w:spacing w:line="288" w:lineRule="auto"/>
        <w:ind w:firstLine="709"/>
        <w:jc w:val="both"/>
        <w:rPr>
          <w:b/>
          <w:sz w:val="26"/>
          <w:szCs w:val="26"/>
        </w:rPr>
      </w:pPr>
      <w:r w:rsidRPr="008548E1">
        <w:rPr>
          <w:b/>
          <w:sz w:val="26"/>
          <w:szCs w:val="26"/>
        </w:rPr>
        <w:t xml:space="preserve">Основные показатели социально-экономического развития </w:t>
      </w:r>
      <w:r w:rsidR="00B92AFE" w:rsidRPr="008548E1">
        <w:rPr>
          <w:b/>
          <w:sz w:val="26"/>
          <w:szCs w:val="26"/>
        </w:rPr>
        <w:t>Архангельск</w:t>
      </w:r>
      <w:r w:rsidRPr="008548E1">
        <w:rPr>
          <w:b/>
          <w:sz w:val="26"/>
          <w:szCs w:val="26"/>
        </w:rPr>
        <w:t>ой</w:t>
      </w:r>
      <w:r w:rsidR="00B92AFE" w:rsidRPr="008548E1">
        <w:rPr>
          <w:b/>
          <w:sz w:val="26"/>
          <w:szCs w:val="26"/>
        </w:rPr>
        <w:t xml:space="preserve"> област</w:t>
      </w:r>
      <w:r w:rsidRPr="008548E1">
        <w:rPr>
          <w:b/>
          <w:sz w:val="26"/>
          <w:szCs w:val="26"/>
        </w:rPr>
        <w:t>и</w:t>
      </w:r>
      <w:r w:rsidR="00B92AFE" w:rsidRPr="008548E1">
        <w:rPr>
          <w:b/>
          <w:sz w:val="26"/>
          <w:szCs w:val="26"/>
        </w:rPr>
        <w:t xml:space="preserve"> и Ненецк</w:t>
      </w:r>
      <w:r w:rsidRPr="008548E1">
        <w:rPr>
          <w:b/>
          <w:sz w:val="26"/>
          <w:szCs w:val="26"/>
        </w:rPr>
        <w:t xml:space="preserve">ого </w:t>
      </w:r>
      <w:r w:rsidR="00B92AFE" w:rsidRPr="008548E1">
        <w:rPr>
          <w:b/>
          <w:sz w:val="26"/>
          <w:szCs w:val="26"/>
        </w:rPr>
        <w:t>автономн</w:t>
      </w:r>
      <w:r w:rsidRPr="008548E1">
        <w:rPr>
          <w:b/>
          <w:sz w:val="26"/>
          <w:szCs w:val="26"/>
        </w:rPr>
        <w:t>ого</w:t>
      </w:r>
      <w:r w:rsidR="00B92AFE" w:rsidRPr="008548E1">
        <w:rPr>
          <w:b/>
          <w:sz w:val="26"/>
          <w:szCs w:val="26"/>
        </w:rPr>
        <w:t xml:space="preserve"> округ</w:t>
      </w:r>
      <w:r w:rsidRPr="008548E1">
        <w:rPr>
          <w:b/>
          <w:sz w:val="26"/>
          <w:szCs w:val="26"/>
        </w:rPr>
        <w:t>а.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3"/>
        <w:gridCol w:w="1129"/>
        <w:gridCol w:w="1271"/>
        <w:gridCol w:w="1196"/>
        <w:gridCol w:w="1229"/>
      </w:tblGrid>
      <w:tr w:rsidR="00B92AFE" w:rsidRPr="003626D9" w:rsidTr="00493A70">
        <w:trPr>
          <w:tblHeader/>
        </w:trPr>
        <w:tc>
          <w:tcPr>
            <w:tcW w:w="4673" w:type="dxa"/>
            <w:vMerge w:val="restart"/>
            <w:shd w:val="clear" w:color="000000" w:fill="FFFFFF"/>
            <w:vAlign w:val="center"/>
            <w:hideMark/>
          </w:tcPr>
          <w:p w:rsidR="00B92AFE" w:rsidRPr="008548E1" w:rsidRDefault="00B92AFE" w:rsidP="00B92AFE">
            <w:pPr>
              <w:jc w:val="center"/>
            </w:pPr>
            <w:r w:rsidRPr="008548E1">
              <w:rPr>
                <w:sz w:val="22"/>
                <w:szCs w:val="22"/>
              </w:rPr>
              <w:t>Показатель</w:t>
            </w:r>
          </w:p>
        </w:tc>
        <w:tc>
          <w:tcPr>
            <w:tcW w:w="2400" w:type="dxa"/>
            <w:gridSpan w:val="2"/>
            <w:shd w:val="clear" w:color="000000" w:fill="FFFFFF"/>
            <w:vAlign w:val="center"/>
            <w:hideMark/>
          </w:tcPr>
          <w:p w:rsidR="00B92AFE" w:rsidRPr="008548E1" w:rsidRDefault="00B92AFE" w:rsidP="00B92AFE">
            <w:pPr>
              <w:jc w:val="center"/>
            </w:pPr>
            <w:r w:rsidRPr="008548E1">
              <w:rPr>
                <w:sz w:val="22"/>
                <w:szCs w:val="22"/>
              </w:rPr>
              <w:t>Архангельская область без уч</w:t>
            </w:r>
            <w:r w:rsidR="00D81D30" w:rsidRPr="008548E1">
              <w:rPr>
                <w:sz w:val="22"/>
                <w:szCs w:val="22"/>
              </w:rPr>
              <w:t>е</w:t>
            </w:r>
            <w:r w:rsidRPr="008548E1">
              <w:rPr>
                <w:sz w:val="22"/>
                <w:szCs w:val="22"/>
              </w:rPr>
              <w:t>та НАО</w:t>
            </w:r>
          </w:p>
        </w:tc>
        <w:tc>
          <w:tcPr>
            <w:tcW w:w="2425" w:type="dxa"/>
            <w:gridSpan w:val="2"/>
            <w:shd w:val="clear" w:color="000000" w:fill="FFFFFF"/>
            <w:vAlign w:val="center"/>
            <w:hideMark/>
          </w:tcPr>
          <w:p w:rsidR="00B92AFE" w:rsidRPr="00777E00" w:rsidRDefault="00B92AFE" w:rsidP="00B92AFE">
            <w:pPr>
              <w:jc w:val="center"/>
            </w:pPr>
            <w:r w:rsidRPr="00777E00">
              <w:rPr>
                <w:sz w:val="22"/>
                <w:szCs w:val="22"/>
              </w:rPr>
              <w:t>Ненецкий автономный округ</w:t>
            </w:r>
          </w:p>
        </w:tc>
      </w:tr>
      <w:tr w:rsidR="007532E4" w:rsidRPr="003626D9" w:rsidTr="00493A70">
        <w:trPr>
          <w:tblHeader/>
        </w:trPr>
        <w:tc>
          <w:tcPr>
            <w:tcW w:w="4673" w:type="dxa"/>
            <w:vMerge/>
            <w:shd w:val="clear" w:color="000000" w:fill="FFFFFF"/>
            <w:vAlign w:val="center"/>
            <w:hideMark/>
          </w:tcPr>
          <w:p w:rsidR="007532E4" w:rsidRPr="008548E1" w:rsidRDefault="007532E4" w:rsidP="007532E4">
            <w:pPr>
              <w:jc w:val="center"/>
            </w:pP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7532E4" w:rsidRPr="008548E1" w:rsidRDefault="007532E4" w:rsidP="007532E4">
            <w:pPr>
              <w:jc w:val="center"/>
              <w:rPr>
                <w:spacing w:val="-6"/>
              </w:rPr>
            </w:pPr>
            <w:r w:rsidRPr="008548E1">
              <w:rPr>
                <w:spacing w:val="-6"/>
                <w:sz w:val="22"/>
                <w:szCs w:val="22"/>
              </w:rPr>
              <w:t>январь-</w:t>
            </w:r>
            <w:r w:rsidR="008548E1" w:rsidRPr="008548E1">
              <w:rPr>
                <w:spacing w:val="-6"/>
                <w:sz w:val="22"/>
                <w:szCs w:val="22"/>
              </w:rPr>
              <w:t>август</w:t>
            </w:r>
          </w:p>
          <w:p w:rsidR="007532E4" w:rsidRPr="008548E1" w:rsidRDefault="007532E4" w:rsidP="007532E4">
            <w:pPr>
              <w:jc w:val="center"/>
              <w:rPr>
                <w:spacing w:val="-6"/>
              </w:rPr>
            </w:pPr>
            <w:r w:rsidRPr="008548E1">
              <w:rPr>
                <w:spacing w:val="-6"/>
                <w:sz w:val="22"/>
                <w:szCs w:val="22"/>
              </w:rPr>
              <w:t>2018 г.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7532E4" w:rsidRPr="008548E1" w:rsidRDefault="007532E4" w:rsidP="007532E4">
            <w:pPr>
              <w:jc w:val="center"/>
              <w:rPr>
                <w:spacing w:val="-6"/>
              </w:rPr>
            </w:pPr>
            <w:r w:rsidRPr="008548E1">
              <w:rPr>
                <w:spacing w:val="-6"/>
                <w:sz w:val="22"/>
                <w:szCs w:val="22"/>
              </w:rPr>
              <w:t>2018 г. к 2017 г., %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8548E1" w:rsidRPr="00777E00" w:rsidRDefault="008548E1" w:rsidP="008548E1">
            <w:pPr>
              <w:jc w:val="center"/>
              <w:rPr>
                <w:spacing w:val="-6"/>
              </w:rPr>
            </w:pPr>
            <w:r w:rsidRPr="00777E00">
              <w:rPr>
                <w:spacing w:val="-6"/>
                <w:sz w:val="22"/>
                <w:szCs w:val="22"/>
              </w:rPr>
              <w:t>январь-август</w:t>
            </w:r>
          </w:p>
          <w:p w:rsidR="007532E4" w:rsidRPr="00777E00" w:rsidRDefault="008548E1" w:rsidP="008548E1">
            <w:pPr>
              <w:jc w:val="center"/>
              <w:rPr>
                <w:spacing w:val="-6"/>
              </w:rPr>
            </w:pPr>
            <w:r w:rsidRPr="00777E00">
              <w:rPr>
                <w:spacing w:val="-6"/>
                <w:sz w:val="22"/>
                <w:szCs w:val="22"/>
              </w:rPr>
              <w:t>2018 г.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7532E4" w:rsidRPr="00777E00" w:rsidRDefault="007532E4" w:rsidP="007532E4">
            <w:pPr>
              <w:jc w:val="center"/>
              <w:rPr>
                <w:spacing w:val="-6"/>
              </w:rPr>
            </w:pPr>
            <w:r w:rsidRPr="00777E00">
              <w:rPr>
                <w:spacing w:val="-6"/>
                <w:sz w:val="22"/>
                <w:szCs w:val="22"/>
              </w:rPr>
              <w:t>2018 г. к 2017 г., %</w:t>
            </w:r>
          </w:p>
        </w:tc>
      </w:tr>
      <w:tr w:rsidR="00E94A3F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E94A3F" w:rsidRPr="008548E1" w:rsidRDefault="00E94A3F" w:rsidP="00E94A3F">
            <w:r w:rsidRPr="008548E1">
              <w:rPr>
                <w:sz w:val="22"/>
                <w:szCs w:val="22"/>
              </w:rPr>
              <w:t>Индекс промышленного производства, %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E94A3F" w:rsidRPr="008548E1" w:rsidRDefault="00E94A3F" w:rsidP="00E94A3F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E94A3F" w:rsidRPr="008548E1" w:rsidRDefault="008548E1" w:rsidP="00E94A3F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108,9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E94A3F" w:rsidRPr="00777E00" w:rsidRDefault="00E94A3F" w:rsidP="00E94A3F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E94A3F" w:rsidRPr="00777E00" w:rsidRDefault="00777E00" w:rsidP="007532E4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  <w:lang w:val="en-US"/>
              </w:rPr>
              <w:t>93,7</w:t>
            </w:r>
          </w:p>
        </w:tc>
      </w:tr>
      <w:tr w:rsidR="00B92AFE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B92AFE" w:rsidRPr="008548E1" w:rsidRDefault="00B92AFE" w:rsidP="00B92AFE">
            <w:r w:rsidRPr="008548E1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видам деятельности, млрд. рублей: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B92AFE" w:rsidRPr="008548E1" w:rsidRDefault="00B92AFE" w:rsidP="00B92AFE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B92AFE" w:rsidRPr="008548E1" w:rsidRDefault="00B92AFE" w:rsidP="00B92AFE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B92AFE" w:rsidRPr="00777E00" w:rsidRDefault="00B92AFE" w:rsidP="00B92AFE">
            <w:pPr>
              <w:jc w:val="center"/>
            </w:pPr>
            <w:r w:rsidRPr="00777E00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B92AFE" w:rsidRPr="00777E00" w:rsidRDefault="00B92AFE" w:rsidP="00B92AFE">
            <w:pPr>
              <w:jc w:val="center"/>
            </w:pPr>
            <w:r w:rsidRPr="00777E00">
              <w:rPr>
                <w:sz w:val="22"/>
                <w:szCs w:val="22"/>
              </w:rPr>
              <w:t> </w:t>
            </w:r>
          </w:p>
        </w:tc>
      </w:tr>
      <w:tr w:rsidR="006037CB" w:rsidRPr="003626D9" w:rsidTr="006037CB">
        <w:tc>
          <w:tcPr>
            <w:tcW w:w="4673" w:type="dxa"/>
            <w:shd w:val="clear" w:color="000000" w:fill="FFFFFF"/>
            <w:vAlign w:val="bottom"/>
            <w:hideMark/>
          </w:tcPr>
          <w:p w:rsidR="006037CB" w:rsidRPr="008548E1" w:rsidRDefault="006037CB" w:rsidP="006037CB">
            <w:pPr>
              <w:tabs>
                <w:tab w:val="left" w:pos="398"/>
                <w:tab w:val="left" w:pos="743"/>
              </w:tabs>
              <w:ind w:left="318"/>
            </w:pPr>
            <w:r w:rsidRPr="008548E1">
              <w:rPr>
                <w:sz w:val="22"/>
              </w:rPr>
              <w:t>добыча полезных ископаемых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6037CB" w:rsidRPr="008548E1" w:rsidRDefault="008548E1" w:rsidP="006037CB">
            <w:pPr>
              <w:jc w:val="center"/>
              <w:rPr>
                <w:iCs/>
              </w:rPr>
            </w:pPr>
            <w:r w:rsidRPr="008548E1">
              <w:rPr>
                <w:iCs/>
                <w:sz w:val="22"/>
                <w:szCs w:val="22"/>
              </w:rPr>
              <w:t>20,9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6037CB" w:rsidRPr="008548E1" w:rsidRDefault="008548E1" w:rsidP="006037CB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123,8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6037CB" w:rsidRPr="00777E00" w:rsidRDefault="00777E00" w:rsidP="006037CB">
            <w:pPr>
              <w:jc w:val="center"/>
            </w:pPr>
            <w:r w:rsidRPr="00777E00">
              <w:rPr>
                <w:iCs/>
                <w:sz w:val="22"/>
                <w:szCs w:val="22"/>
              </w:rPr>
              <w:t>232,1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6037CB" w:rsidRPr="00777E00" w:rsidRDefault="00777E00" w:rsidP="006037CB">
            <w:pPr>
              <w:jc w:val="center"/>
            </w:pPr>
            <w:r w:rsidRPr="00777E00">
              <w:rPr>
                <w:sz w:val="22"/>
                <w:szCs w:val="22"/>
              </w:rPr>
              <w:t>93,6</w:t>
            </w:r>
          </w:p>
        </w:tc>
      </w:tr>
      <w:tr w:rsidR="006037CB" w:rsidRPr="003626D9" w:rsidTr="006037CB">
        <w:tc>
          <w:tcPr>
            <w:tcW w:w="4673" w:type="dxa"/>
            <w:shd w:val="clear" w:color="000000" w:fill="FFFFFF"/>
            <w:vAlign w:val="bottom"/>
            <w:hideMark/>
          </w:tcPr>
          <w:p w:rsidR="006037CB" w:rsidRPr="008548E1" w:rsidRDefault="006037CB" w:rsidP="006037CB">
            <w:pPr>
              <w:tabs>
                <w:tab w:val="left" w:pos="398"/>
                <w:tab w:val="left" w:pos="743"/>
              </w:tabs>
              <w:ind w:left="318"/>
            </w:pPr>
            <w:r w:rsidRPr="008548E1">
              <w:rPr>
                <w:sz w:val="22"/>
              </w:rPr>
              <w:t>обрабатывающие производства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6037CB" w:rsidRPr="008548E1" w:rsidRDefault="008548E1" w:rsidP="006037CB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109,7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6037CB" w:rsidRPr="008548E1" w:rsidRDefault="008548E1" w:rsidP="006037CB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109,5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6037CB" w:rsidRPr="00777E00" w:rsidRDefault="00777E00" w:rsidP="006037CB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6037CB" w:rsidRPr="00777E00" w:rsidRDefault="00777E00" w:rsidP="006037CB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87,9</w:t>
            </w:r>
          </w:p>
        </w:tc>
      </w:tr>
      <w:tr w:rsidR="006037CB" w:rsidRPr="003626D9" w:rsidTr="006037CB">
        <w:tc>
          <w:tcPr>
            <w:tcW w:w="4673" w:type="dxa"/>
            <w:shd w:val="clear" w:color="000000" w:fill="FFFFFF"/>
            <w:vAlign w:val="bottom"/>
            <w:hideMark/>
          </w:tcPr>
          <w:p w:rsidR="006037CB" w:rsidRPr="008548E1" w:rsidRDefault="006037CB" w:rsidP="006037CB">
            <w:pPr>
              <w:tabs>
                <w:tab w:val="left" w:pos="398"/>
                <w:tab w:val="left" w:pos="743"/>
              </w:tabs>
              <w:ind w:left="318"/>
            </w:pPr>
            <w:r w:rsidRPr="008548E1">
              <w:rPr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6037CB" w:rsidRPr="008548E1" w:rsidRDefault="008548E1" w:rsidP="006037CB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6037CB" w:rsidRPr="008548E1" w:rsidRDefault="008548E1" w:rsidP="006037CB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99,5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6037CB" w:rsidRPr="00777E00" w:rsidRDefault="00777E00" w:rsidP="006D503C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6037CB" w:rsidRPr="00777E00" w:rsidRDefault="00777E00" w:rsidP="006037CB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106,9</w:t>
            </w:r>
          </w:p>
        </w:tc>
      </w:tr>
      <w:tr w:rsidR="006037CB" w:rsidRPr="003626D9" w:rsidTr="00060BD6">
        <w:tc>
          <w:tcPr>
            <w:tcW w:w="4673" w:type="dxa"/>
            <w:shd w:val="clear" w:color="000000" w:fill="FFFFFF"/>
            <w:vAlign w:val="bottom"/>
          </w:tcPr>
          <w:p w:rsidR="006037CB" w:rsidRPr="008548E1" w:rsidRDefault="006037CB" w:rsidP="006037CB">
            <w:pPr>
              <w:tabs>
                <w:tab w:val="left" w:pos="398"/>
                <w:tab w:val="left" w:pos="743"/>
              </w:tabs>
              <w:ind w:left="318"/>
            </w:pPr>
            <w:r w:rsidRPr="008548E1">
              <w:rPr>
                <w:sz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6037CB" w:rsidRPr="008548E1" w:rsidRDefault="008548E1" w:rsidP="006037CB">
            <w:pPr>
              <w:jc w:val="center"/>
              <w:rPr>
                <w:bCs/>
                <w:lang w:val="en-US"/>
              </w:rPr>
            </w:pPr>
            <w:r w:rsidRPr="008548E1"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6037CB" w:rsidRPr="008548E1" w:rsidRDefault="008548E1" w:rsidP="006534FD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97,0</w:t>
            </w:r>
          </w:p>
        </w:tc>
        <w:tc>
          <w:tcPr>
            <w:tcW w:w="1196" w:type="dxa"/>
            <w:shd w:val="clear" w:color="000000" w:fill="FFFFFF"/>
            <w:vAlign w:val="center"/>
          </w:tcPr>
          <w:p w:rsidR="006037CB" w:rsidRPr="00777E00" w:rsidRDefault="00156C41" w:rsidP="006037CB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229" w:type="dxa"/>
            <w:shd w:val="clear" w:color="000000" w:fill="FFFFFF"/>
            <w:vAlign w:val="center"/>
          </w:tcPr>
          <w:p w:rsidR="006037CB" w:rsidRPr="00777E00" w:rsidRDefault="00777E00" w:rsidP="00546E8F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91,6</w:t>
            </w:r>
          </w:p>
        </w:tc>
      </w:tr>
      <w:tr w:rsidR="00E94A3F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E94A3F" w:rsidRPr="008548E1" w:rsidRDefault="00E94A3F" w:rsidP="007532E4">
            <w:r w:rsidRPr="008548E1">
              <w:rPr>
                <w:sz w:val="22"/>
                <w:szCs w:val="22"/>
              </w:rPr>
              <w:t>Продукция сельского хозяйства</w:t>
            </w:r>
            <w:r w:rsidR="004E0339" w:rsidRPr="008548E1">
              <w:rPr>
                <w:sz w:val="22"/>
                <w:szCs w:val="22"/>
              </w:rPr>
              <w:t xml:space="preserve"> </w:t>
            </w:r>
            <w:r w:rsidR="004E0339" w:rsidRPr="008548E1">
              <w:rPr>
                <w:sz w:val="22"/>
                <w:szCs w:val="22"/>
              </w:rPr>
              <w:br/>
              <w:t>за январь-июнь 201</w:t>
            </w:r>
            <w:r w:rsidR="007532E4" w:rsidRPr="008548E1">
              <w:rPr>
                <w:sz w:val="22"/>
                <w:szCs w:val="22"/>
              </w:rPr>
              <w:t>8</w:t>
            </w:r>
            <w:r w:rsidR="004E0339" w:rsidRPr="008548E1">
              <w:rPr>
                <w:sz w:val="22"/>
                <w:szCs w:val="22"/>
              </w:rPr>
              <w:t xml:space="preserve"> года</w:t>
            </w:r>
            <w:r w:rsidRPr="008548E1">
              <w:rPr>
                <w:sz w:val="22"/>
                <w:szCs w:val="22"/>
              </w:rPr>
              <w:t xml:space="preserve">, млрд. рублей </w:t>
            </w:r>
            <w:r w:rsidR="004E0339" w:rsidRPr="008548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E94A3F" w:rsidRPr="008548E1" w:rsidRDefault="00E94A3F" w:rsidP="009E4319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3</w:t>
            </w:r>
            <w:r w:rsidR="009E4319" w:rsidRPr="008548E1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E94A3F" w:rsidRPr="008548E1" w:rsidRDefault="009E4319" w:rsidP="00E94A3F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93,0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E94A3F" w:rsidRPr="00777E00" w:rsidRDefault="007532E4" w:rsidP="00874745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E94A3F" w:rsidRPr="00777E00" w:rsidRDefault="003E00AF" w:rsidP="00B1309B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99,</w:t>
            </w:r>
            <w:r w:rsidR="00B1309B" w:rsidRPr="00777E00">
              <w:rPr>
                <w:bCs/>
                <w:sz w:val="22"/>
                <w:szCs w:val="22"/>
              </w:rPr>
              <w:t>7</w:t>
            </w:r>
          </w:p>
        </w:tc>
      </w:tr>
      <w:tr w:rsidR="00E94A3F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E94A3F" w:rsidRPr="008548E1" w:rsidRDefault="00E94A3F" w:rsidP="00E94A3F">
            <w:r w:rsidRPr="008548E1">
              <w:rPr>
                <w:sz w:val="22"/>
                <w:szCs w:val="22"/>
              </w:rPr>
              <w:t>Объем работ по виду деятельности «Строительство», млрд. рублей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E94A3F" w:rsidRPr="008548E1" w:rsidRDefault="008548E1" w:rsidP="00E94A3F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16,8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E94A3F" w:rsidRPr="008548E1" w:rsidRDefault="008548E1" w:rsidP="00E94A3F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89,2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E94A3F" w:rsidRPr="00777E00" w:rsidRDefault="00777E00" w:rsidP="00E94A3F">
            <w:pPr>
              <w:jc w:val="center"/>
              <w:rPr>
                <w:bCs/>
                <w:lang w:val="en-US"/>
              </w:rPr>
            </w:pPr>
            <w:r w:rsidRPr="00777E00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E94A3F" w:rsidRPr="00777E00" w:rsidRDefault="00777E00" w:rsidP="00546E8F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94,4</w:t>
            </w:r>
          </w:p>
        </w:tc>
      </w:tr>
      <w:tr w:rsidR="00E94A3F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E94A3F" w:rsidRPr="008548E1" w:rsidRDefault="00E94A3F" w:rsidP="00E94A3F">
            <w:r w:rsidRPr="008548E1">
              <w:rPr>
                <w:sz w:val="22"/>
                <w:szCs w:val="22"/>
              </w:rPr>
              <w:t>Ввод в действие жилых домов за сч</w:t>
            </w:r>
            <w:r w:rsidR="00D81D30" w:rsidRPr="008548E1">
              <w:rPr>
                <w:sz w:val="22"/>
                <w:szCs w:val="22"/>
              </w:rPr>
              <w:t>е</w:t>
            </w:r>
            <w:r w:rsidRPr="008548E1">
              <w:rPr>
                <w:sz w:val="22"/>
                <w:szCs w:val="22"/>
              </w:rPr>
              <w:t>т всех источников финансирования, тыс. м</w:t>
            </w:r>
            <w:r w:rsidRPr="008548E1"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 w:rsidRPr="008548E1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E94A3F" w:rsidRPr="008548E1" w:rsidRDefault="008548E1" w:rsidP="00E94A3F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180,9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E94A3F" w:rsidRPr="008548E1" w:rsidRDefault="008548E1" w:rsidP="00E94A3F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88,4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E94A3F" w:rsidRPr="00777E00" w:rsidRDefault="00777E00" w:rsidP="00B1309B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10,2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E94A3F" w:rsidRPr="00777E00" w:rsidRDefault="00777E00" w:rsidP="00E94A3F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104,6</w:t>
            </w:r>
          </w:p>
        </w:tc>
      </w:tr>
      <w:tr w:rsidR="00E94A3F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E94A3F" w:rsidRPr="008548E1" w:rsidRDefault="00E94A3F" w:rsidP="008548E1">
            <w:r w:rsidRPr="008548E1">
              <w:rPr>
                <w:sz w:val="22"/>
                <w:szCs w:val="22"/>
              </w:rPr>
              <w:t xml:space="preserve">Инвестиции в основной капитал </w:t>
            </w:r>
            <w:r w:rsidR="00357937" w:rsidRPr="008548E1">
              <w:rPr>
                <w:sz w:val="22"/>
                <w:szCs w:val="22"/>
              </w:rPr>
              <w:br/>
            </w:r>
            <w:r w:rsidRPr="008548E1">
              <w:rPr>
                <w:sz w:val="22"/>
                <w:szCs w:val="22"/>
              </w:rPr>
              <w:t>за январь-</w:t>
            </w:r>
            <w:r w:rsidR="008548E1" w:rsidRPr="008548E1">
              <w:rPr>
                <w:sz w:val="22"/>
                <w:szCs w:val="22"/>
              </w:rPr>
              <w:t xml:space="preserve">июнь </w:t>
            </w:r>
            <w:r w:rsidRPr="008548E1">
              <w:rPr>
                <w:sz w:val="22"/>
                <w:szCs w:val="22"/>
              </w:rPr>
              <w:t>201</w:t>
            </w:r>
            <w:r w:rsidR="00B1309B" w:rsidRPr="008548E1">
              <w:rPr>
                <w:sz w:val="22"/>
                <w:szCs w:val="22"/>
              </w:rPr>
              <w:t>8</w:t>
            </w:r>
            <w:r w:rsidRPr="008548E1">
              <w:rPr>
                <w:sz w:val="22"/>
                <w:szCs w:val="22"/>
              </w:rPr>
              <w:t xml:space="preserve"> года, млрд. рублей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E94A3F" w:rsidRPr="008548E1" w:rsidRDefault="008548E1" w:rsidP="00E94A3F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40,1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E94A3F" w:rsidRPr="008548E1" w:rsidRDefault="008548E1" w:rsidP="00E94A3F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135,1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E94A3F" w:rsidRPr="00777E00" w:rsidRDefault="00777E00" w:rsidP="00E94A3F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40,9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E94A3F" w:rsidRPr="00777E00" w:rsidRDefault="00777E00" w:rsidP="00E94A3F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81,4</w:t>
            </w:r>
          </w:p>
        </w:tc>
      </w:tr>
      <w:tr w:rsidR="00E94A3F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E94A3F" w:rsidRPr="008548E1" w:rsidRDefault="00E94A3F" w:rsidP="00E94A3F">
            <w:r w:rsidRPr="008548E1">
              <w:rPr>
                <w:sz w:val="22"/>
                <w:szCs w:val="22"/>
              </w:rPr>
              <w:t>Оборот розничной торговли, млрд. рублей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E94A3F" w:rsidRPr="008548E1" w:rsidRDefault="008548E1" w:rsidP="00E94A3F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164,6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E94A3F" w:rsidRPr="008548E1" w:rsidRDefault="008548E1" w:rsidP="00E94A3F">
            <w:pPr>
              <w:jc w:val="center"/>
              <w:rPr>
                <w:bCs/>
              </w:rPr>
            </w:pPr>
            <w:r w:rsidRPr="008548E1">
              <w:rPr>
                <w:bCs/>
                <w:sz w:val="22"/>
                <w:szCs w:val="22"/>
              </w:rPr>
              <w:t>103,0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E94A3F" w:rsidRPr="00777E00" w:rsidRDefault="00777E00" w:rsidP="00874745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E94A3F" w:rsidRPr="00777E00" w:rsidRDefault="00777E00" w:rsidP="00B1309B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100,8</w:t>
            </w:r>
          </w:p>
        </w:tc>
      </w:tr>
      <w:tr w:rsidR="00E94A3F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E94A3F" w:rsidRPr="005B41A7" w:rsidRDefault="00E94A3F" w:rsidP="00E94A3F">
            <w:r w:rsidRPr="005B41A7">
              <w:rPr>
                <w:sz w:val="22"/>
                <w:szCs w:val="22"/>
              </w:rPr>
              <w:t>Оборот общественного питания, млрд. рублей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E94A3F" w:rsidRPr="005B41A7" w:rsidRDefault="008548E1" w:rsidP="00E94A3F">
            <w:pPr>
              <w:jc w:val="center"/>
              <w:rPr>
                <w:bCs/>
              </w:rPr>
            </w:pPr>
            <w:r w:rsidRPr="005B41A7">
              <w:rPr>
                <w:bCs/>
                <w:sz w:val="22"/>
                <w:szCs w:val="22"/>
              </w:rPr>
              <w:t>9,3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E94A3F" w:rsidRPr="005B41A7" w:rsidRDefault="00EE3C36" w:rsidP="008548E1">
            <w:pPr>
              <w:jc w:val="center"/>
              <w:rPr>
                <w:bCs/>
                <w:lang w:val="en-US"/>
              </w:rPr>
            </w:pPr>
            <w:r w:rsidRPr="005B41A7">
              <w:rPr>
                <w:bCs/>
                <w:sz w:val="22"/>
                <w:szCs w:val="22"/>
                <w:lang w:val="en-US"/>
              </w:rPr>
              <w:t>104</w:t>
            </w:r>
            <w:r w:rsidRPr="005B41A7">
              <w:rPr>
                <w:bCs/>
                <w:sz w:val="22"/>
                <w:szCs w:val="22"/>
              </w:rPr>
              <w:t>,</w:t>
            </w:r>
            <w:r w:rsidR="008548E1" w:rsidRPr="005B41A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E94A3F" w:rsidRPr="00777E00" w:rsidRDefault="00777E00" w:rsidP="006D503C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E94A3F" w:rsidRPr="00777E00" w:rsidRDefault="00777E00" w:rsidP="00E94A3F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124,1</w:t>
            </w:r>
          </w:p>
        </w:tc>
      </w:tr>
      <w:tr w:rsidR="00B92AFE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B92AFE" w:rsidRPr="005B41A7" w:rsidRDefault="00B92AFE" w:rsidP="008548E1">
            <w:r w:rsidRPr="005B41A7">
              <w:rPr>
                <w:sz w:val="22"/>
                <w:szCs w:val="22"/>
              </w:rPr>
              <w:t>Среднемесячная заработная плата одного работника</w:t>
            </w:r>
            <w:r w:rsidR="00357937" w:rsidRPr="005B41A7">
              <w:rPr>
                <w:sz w:val="22"/>
                <w:szCs w:val="22"/>
              </w:rPr>
              <w:t xml:space="preserve"> за январь-</w:t>
            </w:r>
            <w:r w:rsidR="008548E1" w:rsidRPr="005B41A7">
              <w:rPr>
                <w:sz w:val="22"/>
                <w:szCs w:val="22"/>
              </w:rPr>
              <w:t>июль</w:t>
            </w:r>
            <w:r w:rsidR="004E0339" w:rsidRPr="005B41A7">
              <w:rPr>
                <w:sz w:val="22"/>
                <w:szCs w:val="22"/>
              </w:rPr>
              <w:t xml:space="preserve"> </w:t>
            </w:r>
            <w:r w:rsidR="00357937" w:rsidRPr="005B41A7">
              <w:rPr>
                <w:sz w:val="22"/>
                <w:szCs w:val="22"/>
              </w:rPr>
              <w:t>201</w:t>
            </w:r>
            <w:r w:rsidR="00B1309B" w:rsidRPr="005B41A7">
              <w:rPr>
                <w:sz w:val="22"/>
                <w:szCs w:val="22"/>
              </w:rPr>
              <w:t>8</w:t>
            </w:r>
            <w:r w:rsidR="00357937" w:rsidRPr="005B41A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B92AFE" w:rsidRPr="005B41A7" w:rsidRDefault="00B92AFE" w:rsidP="00B92AFE">
            <w:pPr>
              <w:jc w:val="center"/>
              <w:rPr>
                <w:bCs/>
              </w:rPr>
            </w:pPr>
            <w:r w:rsidRPr="005B41A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B92AFE" w:rsidRPr="005B41A7" w:rsidRDefault="00B92AFE" w:rsidP="00B92AFE">
            <w:pPr>
              <w:jc w:val="center"/>
              <w:rPr>
                <w:bCs/>
              </w:rPr>
            </w:pPr>
            <w:r w:rsidRPr="005B41A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B92AFE" w:rsidRPr="00777E00" w:rsidRDefault="00B92AFE" w:rsidP="00B92AFE">
            <w:pPr>
              <w:jc w:val="center"/>
            </w:pPr>
            <w:r w:rsidRPr="00777E00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B92AFE" w:rsidRPr="00777E00" w:rsidRDefault="00B92AFE" w:rsidP="00B92AFE">
            <w:pPr>
              <w:jc w:val="center"/>
            </w:pPr>
            <w:r w:rsidRPr="00777E00">
              <w:rPr>
                <w:sz w:val="22"/>
                <w:szCs w:val="22"/>
              </w:rPr>
              <w:t> </w:t>
            </w:r>
          </w:p>
        </w:tc>
      </w:tr>
      <w:tr w:rsidR="00357937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357937" w:rsidRPr="005B41A7" w:rsidRDefault="00357937" w:rsidP="00357937">
            <w:pPr>
              <w:ind w:firstLineChars="200" w:firstLine="440"/>
            </w:pPr>
            <w:r w:rsidRPr="005B41A7">
              <w:rPr>
                <w:sz w:val="22"/>
                <w:szCs w:val="22"/>
              </w:rPr>
              <w:lastRenderedPageBreak/>
              <w:t>номинальная, рублей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357937" w:rsidRPr="005B41A7" w:rsidRDefault="008548E1" w:rsidP="00357937">
            <w:pPr>
              <w:jc w:val="center"/>
              <w:rPr>
                <w:bCs/>
              </w:rPr>
            </w:pPr>
            <w:r w:rsidRPr="005B41A7">
              <w:rPr>
                <w:bCs/>
                <w:sz w:val="22"/>
                <w:szCs w:val="22"/>
              </w:rPr>
              <w:t>44 529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357937" w:rsidRPr="005B41A7" w:rsidRDefault="009E4319" w:rsidP="00357937">
            <w:pPr>
              <w:jc w:val="center"/>
              <w:rPr>
                <w:bCs/>
              </w:rPr>
            </w:pPr>
            <w:r w:rsidRPr="005B41A7">
              <w:rPr>
                <w:bCs/>
                <w:sz w:val="22"/>
                <w:szCs w:val="22"/>
              </w:rPr>
              <w:t>111,9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357937" w:rsidRPr="00777E00" w:rsidRDefault="00777E00" w:rsidP="006D503C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83 067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357937" w:rsidRPr="00777E00" w:rsidRDefault="00777E00" w:rsidP="00357937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110,3</w:t>
            </w:r>
          </w:p>
        </w:tc>
      </w:tr>
      <w:tr w:rsidR="00357937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357937" w:rsidRPr="005B41A7" w:rsidRDefault="00357937" w:rsidP="00357937">
            <w:pPr>
              <w:ind w:firstLineChars="200" w:firstLine="440"/>
            </w:pPr>
            <w:r w:rsidRPr="005B41A7">
              <w:rPr>
                <w:sz w:val="22"/>
                <w:szCs w:val="22"/>
              </w:rPr>
              <w:t>реальная, %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357937" w:rsidRPr="005B41A7" w:rsidRDefault="00357937" w:rsidP="00357937">
            <w:pPr>
              <w:jc w:val="center"/>
              <w:rPr>
                <w:bCs/>
              </w:rPr>
            </w:pPr>
            <w:r w:rsidRPr="005B41A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357937" w:rsidRPr="005B41A7" w:rsidRDefault="009E4319" w:rsidP="005B41A7">
            <w:pPr>
              <w:jc w:val="center"/>
              <w:rPr>
                <w:bCs/>
              </w:rPr>
            </w:pPr>
            <w:r w:rsidRPr="005B41A7">
              <w:rPr>
                <w:bCs/>
                <w:sz w:val="22"/>
                <w:szCs w:val="22"/>
              </w:rPr>
              <w:t>110,</w:t>
            </w:r>
            <w:r w:rsidR="005B41A7" w:rsidRPr="005B41A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357937" w:rsidRPr="00777E00" w:rsidRDefault="00357937" w:rsidP="00357937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357937" w:rsidRPr="00777E00" w:rsidRDefault="00777E00" w:rsidP="00357937">
            <w:pPr>
              <w:jc w:val="center"/>
              <w:rPr>
                <w:bCs/>
              </w:rPr>
            </w:pPr>
            <w:r w:rsidRPr="00777E00">
              <w:rPr>
                <w:bCs/>
                <w:sz w:val="22"/>
                <w:szCs w:val="22"/>
              </w:rPr>
              <w:t>108,9</w:t>
            </w:r>
          </w:p>
        </w:tc>
      </w:tr>
      <w:tr w:rsidR="00357937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357937" w:rsidRPr="00A35F05" w:rsidRDefault="00357937" w:rsidP="00357937">
            <w:r w:rsidRPr="00A35F05">
              <w:rPr>
                <w:sz w:val="22"/>
                <w:szCs w:val="22"/>
              </w:rPr>
              <w:t xml:space="preserve">Денежные доходы на душу населения, рублей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357937" w:rsidRPr="00A35F05" w:rsidRDefault="00A35F05" w:rsidP="002831A2">
            <w:pPr>
              <w:jc w:val="center"/>
              <w:rPr>
                <w:bCs/>
              </w:rPr>
            </w:pPr>
            <w:r w:rsidRPr="00A35F05">
              <w:rPr>
                <w:bCs/>
                <w:sz w:val="22"/>
                <w:szCs w:val="22"/>
              </w:rPr>
              <w:t>30 776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357937" w:rsidRPr="00A35F05" w:rsidRDefault="00A35F05" w:rsidP="00357937">
            <w:pPr>
              <w:jc w:val="center"/>
              <w:rPr>
                <w:bCs/>
              </w:rPr>
            </w:pPr>
            <w:r w:rsidRPr="00A35F05">
              <w:rPr>
                <w:bCs/>
                <w:sz w:val="22"/>
                <w:szCs w:val="22"/>
              </w:rPr>
              <w:t>99,6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357937" w:rsidRPr="00F93D4A" w:rsidRDefault="00777E00" w:rsidP="00F7197F">
            <w:pPr>
              <w:jc w:val="center"/>
              <w:rPr>
                <w:bCs/>
              </w:rPr>
            </w:pPr>
            <w:r w:rsidRPr="00F93D4A">
              <w:rPr>
                <w:bCs/>
                <w:sz w:val="22"/>
                <w:szCs w:val="22"/>
              </w:rPr>
              <w:t>67 374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176D5E" w:rsidRPr="00F93D4A" w:rsidRDefault="00777E00" w:rsidP="00176D5E">
            <w:pPr>
              <w:jc w:val="center"/>
              <w:rPr>
                <w:bCs/>
              </w:rPr>
            </w:pPr>
            <w:r w:rsidRPr="00F93D4A">
              <w:rPr>
                <w:bCs/>
                <w:sz w:val="22"/>
                <w:szCs w:val="22"/>
              </w:rPr>
              <w:t>98,6</w:t>
            </w:r>
          </w:p>
        </w:tc>
      </w:tr>
      <w:tr w:rsidR="00357937" w:rsidRPr="003626D9" w:rsidTr="00493A70">
        <w:tc>
          <w:tcPr>
            <w:tcW w:w="467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937" w:rsidRPr="00A35F05" w:rsidRDefault="00357937" w:rsidP="00357937">
            <w:pPr>
              <w:rPr>
                <w:i/>
                <w:iCs/>
              </w:rPr>
            </w:pPr>
            <w:r w:rsidRPr="00A35F05">
              <w:rPr>
                <w:sz w:val="22"/>
                <w:szCs w:val="22"/>
              </w:rPr>
              <w:t xml:space="preserve">Реальные располагаемые денежные доходы, %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937" w:rsidRPr="00A35F05" w:rsidRDefault="00357937" w:rsidP="00357937">
            <w:pPr>
              <w:jc w:val="center"/>
              <w:rPr>
                <w:bCs/>
              </w:rPr>
            </w:pPr>
            <w:r w:rsidRPr="00A35F05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937" w:rsidRPr="00A35F05" w:rsidRDefault="00A35F05" w:rsidP="009E4319">
            <w:pPr>
              <w:jc w:val="center"/>
              <w:rPr>
                <w:bCs/>
              </w:rPr>
            </w:pPr>
            <w:r w:rsidRPr="00A35F05">
              <w:rPr>
                <w:bCs/>
                <w:sz w:val="22"/>
                <w:szCs w:val="22"/>
              </w:rPr>
              <w:t>96,8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937" w:rsidRPr="00F93D4A" w:rsidRDefault="00357937" w:rsidP="00357937">
            <w:pPr>
              <w:jc w:val="center"/>
              <w:rPr>
                <w:bCs/>
              </w:rPr>
            </w:pPr>
            <w:r w:rsidRPr="00F93D4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937" w:rsidRPr="00F93D4A" w:rsidRDefault="00777E00" w:rsidP="00357937">
            <w:pPr>
              <w:jc w:val="center"/>
              <w:rPr>
                <w:bCs/>
              </w:rPr>
            </w:pPr>
            <w:r w:rsidRPr="00F93D4A">
              <w:rPr>
                <w:bCs/>
                <w:sz w:val="22"/>
                <w:szCs w:val="22"/>
              </w:rPr>
              <w:t>96,9</w:t>
            </w:r>
          </w:p>
        </w:tc>
      </w:tr>
      <w:tr w:rsidR="00357937" w:rsidRPr="003626D9" w:rsidTr="00176D5E">
        <w:trPr>
          <w:trHeight w:val="114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357937" w:rsidRPr="00E02647" w:rsidRDefault="00357937" w:rsidP="00357937">
            <w:r w:rsidRPr="00E02647">
              <w:rPr>
                <w:sz w:val="22"/>
                <w:szCs w:val="22"/>
              </w:rPr>
              <w:t>Индекс потребительских цен,</w:t>
            </w:r>
            <w:r w:rsidR="006D503C" w:rsidRPr="00E02647">
              <w:rPr>
                <w:sz w:val="22"/>
                <w:szCs w:val="22"/>
              </w:rPr>
              <w:t xml:space="preserve"> </w:t>
            </w:r>
            <w:r w:rsidRPr="00E02647">
              <w:rPr>
                <w:sz w:val="22"/>
                <w:szCs w:val="22"/>
              </w:rPr>
              <w:t>%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357937" w:rsidRPr="00E02647" w:rsidRDefault="00357937" w:rsidP="00357937">
            <w:pPr>
              <w:jc w:val="center"/>
              <w:rPr>
                <w:bCs/>
              </w:rPr>
            </w:pPr>
            <w:r w:rsidRPr="00E0264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357937" w:rsidRPr="00E02647" w:rsidRDefault="00176D5E" w:rsidP="00E02647">
            <w:pPr>
              <w:jc w:val="center"/>
              <w:rPr>
                <w:bCs/>
              </w:rPr>
            </w:pPr>
            <w:r w:rsidRPr="00E02647">
              <w:rPr>
                <w:bCs/>
                <w:sz w:val="22"/>
                <w:szCs w:val="22"/>
              </w:rPr>
              <w:t>101,</w:t>
            </w:r>
            <w:r w:rsidR="00E02647" w:rsidRPr="00E0264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357937" w:rsidRPr="00F93D4A" w:rsidRDefault="00357937" w:rsidP="00357937">
            <w:pPr>
              <w:jc w:val="center"/>
              <w:rPr>
                <w:bCs/>
              </w:rPr>
            </w:pPr>
            <w:r w:rsidRPr="00F93D4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357937" w:rsidRPr="00F93D4A" w:rsidRDefault="00A35F05" w:rsidP="00E02647">
            <w:pPr>
              <w:jc w:val="center"/>
              <w:rPr>
                <w:bCs/>
              </w:rPr>
            </w:pPr>
            <w:r w:rsidRPr="00F93D4A">
              <w:rPr>
                <w:bCs/>
                <w:sz w:val="22"/>
                <w:szCs w:val="22"/>
              </w:rPr>
              <w:t>101,3</w:t>
            </w:r>
          </w:p>
        </w:tc>
      </w:tr>
      <w:tr w:rsidR="00357937" w:rsidRPr="003626D9" w:rsidTr="00493A70">
        <w:tc>
          <w:tcPr>
            <w:tcW w:w="4673" w:type="dxa"/>
            <w:shd w:val="clear" w:color="000000" w:fill="FFFFFF"/>
            <w:vAlign w:val="center"/>
            <w:hideMark/>
          </w:tcPr>
          <w:p w:rsidR="00357937" w:rsidRPr="00E02647" w:rsidRDefault="00357937" w:rsidP="00EB23AE">
            <w:pPr>
              <w:ind w:left="559"/>
            </w:pPr>
            <w:r w:rsidRPr="00E02647">
              <w:rPr>
                <w:sz w:val="22"/>
                <w:szCs w:val="22"/>
              </w:rPr>
              <w:t xml:space="preserve">то же – </w:t>
            </w:r>
            <w:r w:rsidR="00EB23AE" w:rsidRPr="00E02647">
              <w:rPr>
                <w:sz w:val="22"/>
                <w:szCs w:val="22"/>
              </w:rPr>
              <w:t>август</w:t>
            </w:r>
            <w:r w:rsidRPr="00E02647">
              <w:rPr>
                <w:sz w:val="22"/>
                <w:szCs w:val="22"/>
              </w:rPr>
              <w:t xml:space="preserve"> 201</w:t>
            </w:r>
            <w:r w:rsidR="00176D5E" w:rsidRPr="00E02647">
              <w:rPr>
                <w:sz w:val="22"/>
                <w:szCs w:val="22"/>
              </w:rPr>
              <w:t>8</w:t>
            </w:r>
            <w:r w:rsidR="00342465" w:rsidRPr="00E02647">
              <w:rPr>
                <w:sz w:val="22"/>
                <w:szCs w:val="22"/>
              </w:rPr>
              <w:t xml:space="preserve"> г. к декабрю 201</w:t>
            </w:r>
            <w:r w:rsidR="00176D5E" w:rsidRPr="00E02647">
              <w:rPr>
                <w:sz w:val="22"/>
                <w:szCs w:val="22"/>
              </w:rPr>
              <w:t>7</w:t>
            </w:r>
            <w:r w:rsidRPr="00E0264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357937" w:rsidRPr="00E02647" w:rsidRDefault="00357937" w:rsidP="00357937">
            <w:pPr>
              <w:jc w:val="center"/>
              <w:rPr>
                <w:bCs/>
              </w:rPr>
            </w:pPr>
            <w:r w:rsidRPr="00E0264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357937" w:rsidRPr="00E02647" w:rsidRDefault="00E02647" w:rsidP="002831A2">
            <w:pPr>
              <w:jc w:val="center"/>
              <w:rPr>
                <w:bCs/>
              </w:rPr>
            </w:pPr>
            <w:r w:rsidRPr="00E02647">
              <w:rPr>
                <w:bCs/>
                <w:sz w:val="22"/>
                <w:szCs w:val="22"/>
              </w:rPr>
              <w:t>101,9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:rsidR="00357937" w:rsidRPr="00F93D4A" w:rsidRDefault="00357937" w:rsidP="00357937">
            <w:pPr>
              <w:jc w:val="center"/>
              <w:rPr>
                <w:bCs/>
              </w:rPr>
            </w:pPr>
            <w:r w:rsidRPr="00F93D4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:rsidR="00357937" w:rsidRPr="00F93D4A" w:rsidRDefault="00A35F05" w:rsidP="006D503C">
            <w:pPr>
              <w:jc w:val="center"/>
              <w:rPr>
                <w:bCs/>
              </w:rPr>
            </w:pPr>
            <w:r w:rsidRPr="00F93D4A">
              <w:rPr>
                <w:bCs/>
                <w:sz w:val="22"/>
                <w:szCs w:val="22"/>
              </w:rPr>
              <w:t>100,1</w:t>
            </w:r>
          </w:p>
        </w:tc>
      </w:tr>
      <w:tr w:rsidR="00357937" w:rsidRPr="003626D9" w:rsidTr="00493A70">
        <w:tc>
          <w:tcPr>
            <w:tcW w:w="467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937" w:rsidRPr="00A35F05" w:rsidRDefault="00357937" w:rsidP="00357937">
            <w:r w:rsidRPr="00A35F05">
              <w:rPr>
                <w:sz w:val="22"/>
                <w:szCs w:val="22"/>
              </w:rPr>
              <w:t>Индекс цен производителей промышленных товаров, %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937" w:rsidRPr="00A35F05" w:rsidRDefault="00357937" w:rsidP="00357937">
            <w:pPr>
              <w:jc w:val="center"/>
              <w:rPr>
                <w:bCs/>
              </w:rPr>
            </w:pPr>
            <w:r w:rsidRPr="00A35F05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937" w:rsidRPr="00A35F05" w:rsidRDefault="00A35F05" w:rsidP="00357937">
            <w:pPr>
              <w:jc w:val="center"/>
              <w:rPr>
                <w:bCs/>
              </w:rPr>
            </w:pPr>
            <w:r w:rsidRPr="00A35F05">
              <w:rPr>
                <w:bCs/>
                <w:sz w:val="22"/>
                <w:szCs w:val="22"/>
              </w:rPr>
              <w:t>107,9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937" w:rsidRPr="00F93D4A" w:rsidRDefault="00357937" w:rsidP="00357937">
            <w:pPr>
              <w:jc w:val="center"/>
              <w:rPr>
                <w:bCs/>
              </w:rPr>
            </w:pPr>
            <w:r w:rsidRPr="00F93D4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57937" w:rsidRPr="00F93D4A" w:rsidRDefault="00F93D4A" w:rsidP="00357937">
            <w:pPr>
              <w:jc w:val="center"/>
              <w:rPr>
                <w:bCs/>
              </w:rPr>
            </w:pPr>
            <w:r w:rsidRPr="00F93D4A">
              <w:rPr>
                <w:bCs/>
                <w:sz w:val="22"/>
                <w:szCs w:val="22"/>
              </w:rPr>
              <w:t>114,5</w:t>
            </w:r>
          </w:p>
        </w:tc>
      </w:tr>
    </w:tbl>
    <w:p w:rsidR="00820844" w:rsidRDefault="00820844" w:rsidP="00176D5E">
      <w:pPr>
        <w:pStyle w:val="1"/>
        <w:spacing w:before="120" w:after="0"/>
        <w:rPr>
          <w:szCs w:val="26"/>
        </w:rPr>
      </w:pPr>
      <w:r w:rsidRPr="0059244C">
        <w:rPr>
          <w:szCs w:val="26"/>
        </w:rPr>
        <w:t>Демографические показатели</w:t>
      </w:r>
      <w:r w:rsidR="008C0FF0" w:rsidRPr="0059244C">
        <w:rPr>
          <w:szCs w:val="26"/>
        </w:rPr>
        <w:t>.</w:t>
      </w:r>
      <w:r w:rsidRPr="0059244C">
        <w:rPr>
          <w:szCs w:val="26"/>
        </w:rPr>
        <w:t xml:space="preserve"> </w:t>
      </w:r>
    </w:p>
    <w:p w:rsidR="00B066D4" w:rsidRPr="0059244C" w:rsidRDefault="009015D6" w:rsidP="004676D7">
      <w:pPr>
        <w:pStyle w:val="33"/>
        <w:spacing w:after="0" w:line="276" w:lineRule="auto"/>
        <w:ind w:left="0" w:firstLine="709"/>
        <w:jc w:val="both"/>
        <w:rPr>
          <w:sz w:val="26"/>
          <w:szCs w:val="26"/>
        </w:rPr>
      </w:pPr>
      <w:r w:rsidRPr="0059244C">
        <w:rPr>
          <w:sz w:val="26"/>
          <w:szCs w:val="26"/>
        </w:rPr>
        <w:t>Среднегодовая численность населения в 201</w:t>
      </w:r>
      <w:r w:rsidR="00AE10DD" w:rsidRPr="0059244C">
        <w:rPr>
          <w:sz w:val="26"/>
          <w:szCs w:val="26"/>
        </w:rPr>
        <w:t>7</w:t>
      </w:r>
      <w:r w:rsidRPr="0059244C">
        <w:rPr>
          <w:sz w:val="26"/>
          <w:szCs w:val="26"/>
        </w:rPr>
        <w:t xml:space="preserve"> году составила</w:t>
      </w:r>
      <w:r w:rsidR="008E5A8E" w:rsidRPr="0059244C">
        <w:rPr>
          <w:sz w:val="26"/>
          <w:szCs w:val="26"/>
        </w:rPr>
        <w:br/>
      </w:r>
      <w:r w:rsidRPr="0059244C">
        <w:rPr>
          <w:sz w:val="26"/>
          <w:szCs w:val="26"/>
        </w:rPr>
        <w:t>1 1</w:t>
      </w:r>
      <w:r w:rsidR="00AE10DD" w:rsidRPr="0059244C">
        <w:rPr>
          <w:sz w:val="26"/>
          <w:szCs w:val="26"/>
        </w:rPr>
        <w:t>1</w:t>
      </w:r>
      <w:r w:rsidRPr="0059244C">
        <w:rPr>
          <w:sz w:val="26"/>
          <w:szCs w:val="26"/>
        </w:rPr>
        <w:t>6,</w:t>
      </w:r>
      <w:r w:rsidR="00AE10DD" w:rsidRPr="0059244C">
        <w:rPr>
          <w:sz w:val="26"/>
          <w:szCs w:val="26"/>
        </w:rPr>
        <w:t>4</w:t>
      </w:r>
      <w:r w:rsidRPr="0059244C">
        <w:rPr>
          <w:sz w:val="26"/>
          <w:szCs w:val="26"/>
        </w:rPr>
        <w:t xml:space="preserve"> тыс. человек, из которых 87</w:t>
      </w:r>
      <w:r w:rsidR="00AE10DD" w:rsidRPr="0059244C">
        <w:rPr>
          <w:sz w:val="26"/>
          <w:szCs w:val="26"/>
        </w:rPr>
        <w:t>1</w:t>
      </w:r>
      <w:r w:rsidRPr="0059244C">
        <w:rPr>
          <w:sz w:val="26"/>
          <w:szCs w:val="26"/>
        </w:rPr>
        <w:t>,</w:t>
      </w:r>
      <w:r w:rsidR="00AE10DD" w:rsidRPr="0059244C">
        <w:rPr>
          <w:sz w:val="26"/>
          <w:szCs w:val="26"/>
        </w:rPr>
        <w:t>7 тысяч человек (78</w:t>
      </w:r>
      <w:r w:rsidRPr="0059244C">
        <w:rPr>
          <w:sz w:val="26"/>
          <w:szCs w:val="26"/>
        </w:rPr>
        <w:t>,</w:t>
      </w:r>
      <w:r w:rsidR="00AE10DD" w:rsidRPr="0059244C">
        <w:rPr>
          <w:sz w:val="26"/>
          <w:szCs w:val="26"/>
        </w:rPr>
        <w:t>1</w:t>
      </w:r>
      <w:r w:rsidRPr="0059244C">
        <w:rPr>
          <w:sz w:val="26"/>
          <w:szCs w:val="26"/>
        </w:rPr>
        <w:t>%) – горожане,</w:t>
      </w:r>
      <w:r w:rsidR="008E5A8E" w:rsidRPr="0059244C">
        <w:rPr>
          <w:sz w:val="26"/>
          <w:szCs w:val="26"/>
        </w:rPr>
        <w:br/>
      </w:r>
      <w:r w:rsidRPr="0059244C">
        <w:rPr>
          <w:sz w:val="26"/>
          <w:szCs w:val="26"/>
        </w:rPr>
        <w:t>и 2</w:t>
      </w:r>
      <w:r w:rsidR="00AE10DD" w:rsidRPr="0059244C">
        <w:rPr>
          <w:sz w:val="26"/>
          <w:szCs w:val="26"/>
        </w:rPr>
        <w:t>44,7</w:t>
      </w:r>
      <w:r w:rsidRPr="0059244C">
        <w:rPr>
          <w:sz w:val="26"/>
          <w:szCs w:val="26"/>
        </w:rPr>
        <w:t xml:space="preserve"> тысяч человек (2</w:t>
      </w:r>
      <w:r w:rsidR="00AE10DD" w:rsidRPr="0059244C">
        <w:rPr>
          <w:sz w:val="26"/>
          <w:szCs w:val="26"/>
        </w:rPr>
        <w:t>1,9</w:t>
      </w:r>
      <w:r w:rsidRPr="0059244C">
        <w:rPr>
          <w:sz w:val="26"/>
          <w:szCs w:val="26"/>
        </w:rPr>
        <w:t>%) – сельские жители.</w:t>
      </w:r>
      <w:r w:rsidR="008E5A8E" w:rsidRPr="0059244C">
        <w:rPr>
          <w:sz w:val="26"/>
          <w:szCs w:val="26"/>
        </w:rPr>
        <w:t xml:space="preserve"> В течение 201</w:t>
      </w:r>
      <w:r w:rsidR="00AE10DD" w:rsidRPr="0059244C">
        <w:rPr>
          <w:sz w:val="26"/>
          <w:szCs w:val="26"/>
        </w:rPr>
        <w:t>7</w:t>
      </w:r>
      <w:r w:rsidR="008E5A8E" w:rsidRPr="0059244C">
        <w:rPr>
          <w:sz w:val="26"/>
          <w:szCs w:val="26"/>
        </w:rPr>
        <w:t xml:space="preserve"> год</w:t>
      </w:r>
      <w:r w:rsidR="00AE10DD" w:rsidRPr="0059244C">
        <w:rPr>
          <w:sz w:val="26"/>
          <w:szCs w:val="26"/>
        </w:rPr>
        <w:t>а</w:t>
      </w:r>
      <w:r w:rsidR="008E5A8E" w:rsidRPr="0059244C">
        <w:rPr>
          <w:sz w:val="26"/>
          <w:szCs w:val="26"/>
        </w:rPr>
        <w:t xml:space="preserve"> численность населения сократилась на </w:t>
      </w:r>
      <w:r w:rsidR="00AE10DD" w:rsidRPr="0059244C">
        <w:rPr>
          <w:sz w:val="26"/>
          <w:szCs w:val="26"/>
        </w:rPr>
        <w:t>10 782</w:t>
      </w:r>
      <w:r w:rsidR="008E5A8E" w:rsidRPr="0059244C">
        <w:rPr>
          <w:sz w:val="26"/>
          <w:szCs w:val="26"/>
        </w:rPr>
        <w:t xml:space="preserve"> человек</w:t>
      </w:r>
      <w:r w:rsidR="00AE10DD" w:rsidRPr="0059244C">
        <w:rPr>
          <w:sz w:val="26"/>
          <w:szCs w:val="26"/>
        </w:rPr>
        <w:t>а</w:t>
      </w:r>
      <w:r w:rsidR="008E5A8E" w:rsidRPr="0059244C">
        <w:rPr>
          <w:sz w:val="26"/>
          <w:szCs w:val="26"/>
        </w:rPr>
        <w:t>, в том числе за счет естественной убыли на 2</w:t>
      </w:r>
      <w:r w:rsidR="00AE10DD" w:rsidRPr="0059244C">
        <w:rPr>
          <w:sz w:val="26"/>
          <w:szCs w:val="26"/>
        </w:rPr>
        <w:t xml:space="preserve"> 968</w:t>
      </w:r>
      <w:r w:rsidR="008E5A8E" w:rsidRPr="0059244C">
        <w:rPr>
          <w:sz w:val="26"/>
          <w:szCs w:val="26"/>
        </w:rPr>
        <w:t xml:space="preserve"> человек и на </w:t>
      </w:r>
      <w:r w:rsidR="00AE10DD" w:rsidRPr="0059244C">
        <w:rPr>
          <w:sz w:val="26"/>
          <w:szCs w:val="26"/>
        </w:rPr>
        <w:t>7 814</w:t>
      </w:r>
      <w:r w:rsidR="008E5A8E" w:rsidRPr="0059244C">
        <w:rPr>
          <w:sz w:val="26"/>
          <w:szCs w:val="26"/>
        </w:rPr>
        <w:t xml:space="preserve"> человек за счет миграции. </w:t>
      </w:r>
      <w:r w:rsidR="00AE10DD" w:rsidRPr="0059244C">
        <w:rPr>
          <w:sz w:val="26"/>
          <w:szCs w:val="26"/>
        </w:rPr>
        <w:t>Т</w:t>
      </w:r>
      <w:r w:rsidR="00B066D4" w:rsidRPr="0059244C">
        <w:rPr>
          <w:sz w:val="26"/>
          <w:szCs w:val="26"/>
        </w:rPr>
        <w:t>енденция сокращения численности населения Архангельской области, начавшаяся</w:t>
      </w:r>
      <w:r w:rsidR="00AE10DD" w:rsidRPr="0059244C">
        <w:rPr>
          <w:sz w:val="26"/>
          <w:szCs w:val="26"/>
        </w:rPr>
        <w:t xml:space="preserve"> </w:t>
      </w:r>
      <w:r w:rsidR="00B066D4" w:rsidRPr="0059244C">
        <w:rPr>
          <w:sz w:val="26"/>
          <w:szCs w:val="26"/>
        </w:rPr>
        <w:t xml:space="preserve">с 1990 года, сохраняется в настоящее время </w:t>
      </w:r>
      <w:r w:rsidR="00AE10DD" w:rsidRPr="0059244C">
        <w:rPr>
          <w:sz w:val="26"/>
          <w:szCs w:val="26"/>
        </w:rPr>
        <w:t>по причине</w:t>
      </w:r>
      <w:r w:rsidR="00B066D4" w:rsidRPr="0059244C">
        <w:rPr>
          <w:sz w:val="26"/>
          <w:szCs w:val="26"/>
        </w:rPr>
        <w:t xml:space="preserve"> превышения числ</w:t>
      </w:r>
      <w:r w:rsidR="004676D7" w:rsidRPr="0059244C">
        <w:rPr>
          <w:sz w:val="26"/>
          <w:szCs w:val="26"/>
        </w:rPr>
        <w:t>а</w:t>
      </w:r>
      <w:r w:rsidR="00B066D4" w:rsidRPr="0059244C">
        <w:rPr>
          <w:sz w:val="26"/>
          <w:szCs w:val="26"/>
        </w:rPr>
        <w:t xml:space="preserve"> умерших над числом родившихся</w:t>
      </w:r>
      <w:r w:rsidR="008E5A8E" w:rsidRPr="0059244C">
        <w:rPr>
          <w:sz w:val="26"/>
          <w:szCs w:val="26"/>
        </w:rPr>
        <w:t xml:space="preserve">, </w:t>
      </w:r>
      <w:r w:rsidR="00B066D4" w:rsidRPr="0059244C">
        <w:rPr>
          <w:sz w:val="26"/>
          <w:szCs w:val="26"/>
        </w:rPr>
        <w:t xml:space="preserve">а также </w:t>
      </w:r>
      <w:r w:rsidR="008E5A8E" w:rsidRPr="0059244C">
        <w:rPr>
          <w:sz w:val="26"/>
          <w:szCs w:val="26"/>
        </w:rPr>
        <w:t>отрицательного сальдо миграции</w:t>
      </w:r>
      <w:r w:rsidR="00B066D4" w:rsidRPr="0059244C">
        <w:rPr>
          <w:sz w:val="26"/>
          <w:szCs w:val="26"/>
        </w:rPr>
        <w:t xml:space="preserve">. </w:t>
      </w:r>
    </w:p>
    <w:p w:rsidR="00B35838" w:rsidRPr="0059244C" w:rsidRDefault="008E5A8E" w:rsidP="0059244C">
      <w:pPr>
        <w:pStyle w:val="a5"/>
        <w:spacing w:before="0"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9244C">
        <w:rPr>
          <w:rFonts w:ascii="Times New Roman" w:hAnsi="Times New Roman"/>
          <w:sz w:val="26"/>
          <w:szCs w:val="26"/>
        </w:rPr>
        <w:t>При этом у</w:t>
      </w:r>
      <w:r w:rsidR="00B066D4" w:rsidRPr="0059244C">
        <w:rPr>
          <w:rFonts w:ascii="Times New Roman" w:hAnsi="Times New Roman"/>
          <w:sz w:val="26"/>
          <w:szCs w:val="26"/>
        </w:rPr>
        <w:t>меньшение численности населения в 201</w:t>
      </w:r>
      <w:r w:rsidR="00B93BF6" w:rsidRPr="0059244C">
        <w:rPr>
          <w:rFonts w:ascii="Times New Roman" w:hAnsi="Times New Roman"/>
          <w:sz w:val="26"/>
          <w:szCs w:val="26"/>
        </w:rPr>
        <w:t>7</w:t>
      </w:r>
      <w:r w:rsidR="00B066D4" w:rsidRPr="0059244C">
        <w:rPr>
          <w:rFonts w:ascii="Times New Roman" w:hAnsi="Times New Roman"/>
          <w:sz w:val="26"/>
          <w:szCs w:val="26"/>
        </w:rPr>
        <w:t xml:space="preserve"> году </w:t>
      </w:r>
      <w:r w:rsidRPr="0059244C">
        <w:rPr>
          <w:rFonts w:ascii="Times New Roman" w:hAnsi="Times New Roman"/>
          <w:sz w:val="26"/>
          <w:szCs w:val="26"/>
        </w:rPr>
        <w:t xml:space="preserve">было </w:t>
      </w:r>
      <w:r w:rsidR="00B066D4" w:rsidRPr="0059244C">
        <w:rPr>
          <w:rFonts w:ascii="Times New Roman" w:hAnsi="Times New Roman"/>
          <w:sz w:val="26"/>
          <w:szCs w:val="26"/>
        </w:rPr>
        <w:t>отмечено</w:t>
      </w:r>
      <w:r w:rsidRPr="0059244C">
        <w:rPr>
          <w:rFonts w:ascii="Times New Roman" w:hAnsi="Times New Roman"/>
          <w:sz w:val="26"/>
          <w:szCs w:val="26"/>
        </w:rPr>
        <w:br/>
      </w:r>
      <w:r w:rsidR="00B066D4" w:rsidRPr="0059244C">
        <w:rPr>
          <w:rFonts w:ascii="Times New Roman" w:hAnsi="Times New Roman"/>
          <w:sz w:val="26"/>
          <w:szCs w:val="26"/>
        </w:rPr>
        <w:t>во всех муниципальн</w:t>
      </w:r>
      <w:r w:rsidR="00B93BF6" w:rsidRPr="0059244C">
        <w:rPr>
          <w:rFonts w:ascii="Times New Roman" w:hAnsi="Times New Roman"/>
          <w:sz w:val="26"/>
          <w:szCs w:val="26"/>
        </w:rPr>
        <w:t>ых районах и городских округах</w:t>
      </w:r>
      <w:r w:rsidR="0059244C" w:rsidRPr="0059244C">
        <w:rPr>
          <w:rFonts w:ascii="Times New Roman" w:hAnsi="Times New Roman"/>
          <w:sz w:val="26"/>
          <w:szCs w:val="26"/>
        </w:rPr>
        <w:t xml:space="preserve">. </w:t>
      </w:r>
      <w:r w:rsidR="00345341" w:rsidRPr="0059244C">
        <w:rPr>
          <w:rFonts w:ascii="Times New Roman" w:hAnsi="Times New Roman"/>
          <w:sz w:val="26"/>
          <w:szCs w:val="26"/>
        </w:rPr>
        <w:t>Наиболее з</w:t>
      </w:r>
      <w:r w:rsidR="00B066D4" w:rsidRPr="0059244C">
        <w:rPr>
          <w:rFonts w:ascii="Times New Roman" w:hAnsi="Times New Roman"/>
          <w:sz w:val="26"/>
          <w:szCs w:val="26"/>
        </w:rPr>
        <w:t xml:space="preserve">начительные темпы годового </w:t>
      </w:r>
      <w:r w:rsidR="00B066D4" w:rsidRPr="0059244C">
        <w:rPr>
          <w:rFonts w:ascii="Times New Roman" w:hAnsi="Times New Roman" w:cs="Times New Roman"/>
          <w:sz w:val="26"/>
          <w:szCs w:val="26"/>
        </w:rPr>
        <w:t xml:space="preserve">уменьшения численности населения </w:t>
      </w:r>
      <w:r w:rsidR="00345341" w:rsidRPr="0059244C">
        <w:rPr>
          <w:rFonts w:ascii="Times New Roman" w:hAnsi="Times New Roman" w:cs="Times New Roman"/>
          <w:sz w:val="26"/>
          <w:szCs w:val="26"/>
        </w:rPr>
        <w:t>(более 3%) наблюдались</w:t>
      </w:r>
      <w:r w:rsidR="0059244C" w:rsidRPr="0059244C">
        <w:rPr>
          <w:rFonts w:ascii="Times New Roman" w:hAnsi="Times New Roman" w:cs="Times New Roman"/>
          <w:sz w:val="26"/>
          <w:szCs w:val="26"/>
        </w:rPr>
        <w:br/>
      </w:r>
      <w:r w:rsidR="00345341" w:rsidRPr="0059244C">
        <w:rPr>
          <w:rFonts w:ascii="Times New Roman" w:hAnsi="Times New Roman" w:cs="Times New Roman"/>
          <w:sz w:val="26"/>
          <w:szCs w:val="26"/>
        </w:rPr>
        <w:t xml:space="preserve">в Верхнетоемском, Лешуконском и Холмогорском районах. </w:t>
      </w:r>
    </w:p>
    <w:p w:rsidR="002E0960" w:rsidRPr="006429DB" w:rsidRDefault="0059244C" w:rsidP="00D03EE7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6429DB">
        <w:rPr>
          <w:rFonts w:cs="Arial"/>
          <w:color w:val="000000" w:themeColor="text1"/>
          <w:sz w:val="26"/>
          <w:szCs w:val="26"/>
        </w:rPr>
        <w:t xml:space="preserve">Снижение рождаемости носит предопределенный характер, </w:t>
      </w:r>
      <w:r w:rsidR="0086749F" w:rsidRPr="006429DB">
        <w:rPr>
          <w:rFonts w:cs="Arial"/>
          <w:color w:val="000000" w:themeColor="text1"/>
          <w:sz w:val="26"/>
          <w:szCs w:val="26"/>
        </w:rPr>
        <w:t>вызванный</w:t>
      </w:r>
      <w:r w:rsidRPr="006429DB">
        <w:rPr>
          <w:rFonts w:cs="Arial"/>
          <w:color w:val="000000" w:themeColor="text1"/>
          <w:sz w:val="26"/>
          <w:szCs w:val="26"/>
        </w:rPr>
        <w:t xml:space="preserve"> объективными изменениями в возрастной структуре</w:t>
      </w:r>
      <w:r w:rsidR="00D03EE7" w:rsidRPr="006429DB">
        <w:rPr>
          <w:rFonts w:cs="Arial"/>
          <w:color w:val="000000" w:themeColor="text1"/>
          <w:sz w:val="26"/>
          <w:szCs w:val="26"/>
        </w:rPr>
        <w:t xml:space="preserve">, выражающимися </w:t>
      </w:r>
      <w:r w:rsidR="002E0960" w:rsidRPr="006429DB">
        <w:rPr>
          <w:rFonts w:cs="Arial"/>
          <w:color w:val="000000" w:themeColor="text1"/>
          <w:sz w:val="26"/>
          <w:szCs w:val="26"/>
        </w:rPr>
        <w:t>как</w:t>
      </w:r>
      <w:r w:rsidR="006B5EA6">
        <w:rPr>
          <w:rFonts w:cs="Arial"/>
          <w:color w:val="000000" w:themeColor="text1"/>
          <w:sz w:val="26"/>
          <w:szCs w:val="26"/>
        </w:rPr>
        <w:br/>
      </w:r>
      <w:r w:rsidR="00D03EE7" w:rsidRPr="006429DB">
        <w:rPr>
          <w:rFonts w:cs="Arial"/>
          <w:color w:val="000000" w:themeColor="text1"/>
          <w:sz w:val="26"/>
          <w:szCs w:val="26"/>
        </w:rPr>
        <w:t>в старени</w:t>
      </w:r>
      <w:r w:rsidR="002E0960" w:rsidRPr="006429DB">
        <w:rPr>
          <w:rFonts w:cs="Arial"/>
          <w:color w:val="000000" w:themeColor="text1"/>
          <w:sz w:val="26"/>
          <w:szCs w:val="26"/>
        </w:rPr>
        <w:t>и</w:t>
      </w:r>
      <w:r w:rsidR="00D03EE7" w:rsidRPr="006429DB">
        <w:rPr>
          <w:rFonts w:cs="Arial"/>
          <w:color w:val="000000" w:themeColor="text1"/>
          <w:sz w:val="26"/>
          <w:szCs w:val="26"/>
        </w:rPr>
        <w:t xml:space="preserve"> населения </w:t>
      </w:r>
      <w:r w:rsidR="00D03EE7" w:rsidRPr="006429DB">
        <w:rPr>
          <w:color w:val="000000" w:themeColor="text1"/>
          <w:sz w:val="26"/>
          <w:szCs w:val="26"/>
        </w:rPr>
        <w:t>(средний возраст населения в 2017 году составил 40,2 года лет, против 40 лет – в 2016 году)</w:t>
      </w:r>
      <w:r w:rsidR="002E0960" w:rsidRPr="006429DB">
        <w:rPr>
          <w:color w:val="000000" w:themeColor="text1"/>
          <w:sz w:val="26"/>
          <w:szCs w:val="26"/>
        </w:rPr>
        <w:t xml:space="preserve">, так и </w:t>
      </w:r>
      <w:r w:rsidR="006429DB" w:rsidRPr="006429DB">
        <w:rPr>
          <w:color w:val="000000" w:themeColor="text1"/>
          <w:sz w:val="26"/>
          <w:szCs w:val="26"/>
        </w:rPr>
        <w:t xml:space="preserve">в </w:t>
      </w:r>
      <w:r w:rsidR="002E0960" w:rsidRPr="006429DB">
        <w:rPr>
          <w:color w:val="000000" w:themeColor="text1"/>
          <w:sz w:val="26"/>
          <w:szCs w:val="26"/>
        </w:rPr>
        <w:t>уменьшении</w:t>
      </w:r>
      <w:r w:rsidRPr="006429DB">
        <w:rPr>
          <w:rFonts w:cs="Arial"/>
          <w:color w:val="000000" w:themeColor="text1"/>
          <w:sz w:val="26"/>
          <w:szCs w:val="26"/>
        </w:rPr>
        <w:t xml:space="preserve"> численности женщин репродуктивного возраста, что </w:t>
      </w:r>
      <w:r w:rsidR="00D03EE7" w:rsidRPr="006429DB">
        <w:rPr>
          <w:rFonts w:cs="Arial"/>
          <w:color w:val="000000" w:themeColor="text1"/>
          <w:sz w:val="26"/>
          <w:szCs w:val="26"/>
        </w:rPr>
        <w:t>отражается в</w:t>
      </w:r>
      <w:r w:rsidRPr="006429DB">
        <w:rPr>
          <w:rFonts w:cs="Arial"/>
          <w:color w:val="000000" w:themeColor="text1"/>
          <w:sz w:val="26"/>
          <w:szCs w:val="26"/>
        </w:rPr>
        <w:t xml:space="preserve"> </w:t>
      </w:r>
      <w:r w:rsidR="0086749F" w:rsidRPr="006429DB">
        <w:rPr>
          <w:rFonts w:cs="Arial"/>
          <w:color w:val="000000" w:themeColor="text1"/>
          <w:sz w:val="26"/>
          <w:szCs w:val="26"/>
        </w:rPr>
        <w:t>ежегодно</w:t>
      </w:r>
      <w:r w:rsidR="002E0960" w:rsidRPr="006429DB">
        <w:rPr>
          <w:rFonts w:cs="Arial"/>
          <w:color w:val="000000" w:themeColor="text1"/>
          <w:sz w:val="26"/>
          <w:szCs w:val="26"/>
        </w:rPr>
        <w:t>м</w:t>
      </w:r>
      <w:r w:rsidR="0086749F" w:rsidRPr="006429DB">
        <w:rPr>
          <w:rFonts w:cs="Arial"/>
          <w:color w:val="000000" w:themeColor="text1"/>
          <w:sz w:val="26"/>
          <w:szCs w:val="26"/>
        </w:rPr>
        <w:t xml:space="preserve"> с</w:t>
      </w:r>
      <w:r w:rsidR="002E0960" w:rsidRPr="006429DB">
        <w:rPr>
          <w:rFonts w:cs="Arial"/>
          <w:color w:val="000000" w:themeColor="text1"/>
          <w:sz w:val="26"/>
          <w:szCs w:val="26"/>
        </w:rPr>
        <w:t>окращении</w:t>
      </w:r>
      <w:r w:rsidR="0086749F" w:rsidRPr="006429DB">
        <w:rPr>
          <w:rFonts w:cs="Arial"/>
          <w:color w:val="000000" w:themeColor="text1"/>
          <w:sz w:val="26"/>
          <w:szCs w:val="26"/>
        </w:rPr>
        <w:t xml:space="preserve"> численности родившихся. В 2017 году численность родившихся составила 11722 человека, или 88,3% к ровню 2016 года (в 2016 году – 13276 человек, в 2015 году – 13895 человек).  </w:t>
      </w:r>
      <w:r w:rsidR="002E0960" w:rsidRPr="006429DB">
        <w:rPr>
          <w:rFonts w:cs="Arial"/>
          <w:color w:val="000000" w:themeColor="text1"/>
          <w:sz w:val="26"/>
          <w:szCs w:val="26"/>
        </w:rPr>
        <w:t>Указанные тенденции с</w:t>
      </w:r>
      <w:r w:rsidR="002E0960" w:rsidRPr="006429DB">
        <w:rPr>
          <w:color w:val="000000" w:themeColor="text1"/>
          <w:sz w:val="26"/>
          <w:szCs w:val="26"/>
        </w:rPr>
        <w:t>тановя</w:t>
      </w:r>
      <w:r w:rsidR="00D03EE7" w:rsidRPr="006429DB">
        <w:rPr>
          <w:color w:val="000000" w:themeColor="text1"/>
          <w:sz w:val="26"/>
          <w:szCs w:val="26"/>
        </w:rPr>
        <w:t>тся основным</w:t>
      </w:r>
      <w:r w:rsidR="002E0960" w:rsidRPr="006429DB">
        <w:rPr>
          <w:color w:val="000000" w:themeColor="text1"/>
          <w:sz w:val="26"/>
          <w:szCs w:val="26"/>
        </w:rPr>
        <w:t>и</w:t>
      </w:r>
      <w:r w:rsidR="00D03EE7" w:rsidRPr="006429DB">
        <w:rPr>
          <w:color w:val="000000" w:themeColor="text1"/>
          <w:sz w:val="26"/>
          <w:szCs w:val="26"/>
        </w:rPr>
        <w:t xml:space="preserve"> сдерживающим</w:t>
      </w:r>
      <w:r w:rsidR="002E0960" w:rsidRPr="006429DB">
        <w:rPr>
          <w:color w:val="000000" w:themeColor="text1"/>
          <w:sz w:val="26"/>
          <w:szCs w:val="26"/>
        </w:rPr>
        <w:t>и</w:t>
      </w:r>
      <w:r w:rsidR="00D03EE7" w:rsidRPr="006429DB">
        <w:rPr>
          <w:color w:val="000000" w:themeColor="text1"/>
          <w:sz w:val="26"/>
          <w:szCs w:val="26"/>
        </w:rPr>
        <w:t xml:space="preserve"> фактор</w:t>
      </w:r>
      <w:r w:rsidR="002E0960" w:rsidRPr="006429DB">
        <w:rPr>
          <w:color w:val="000000" w:themeColor="text1"/>
          <w:sz w:val="26"/>
          <w:szCs w:val="26"/>
        </w:rPr>
        <w:t>ами</w:t>
      </w:r>
      <w:r w:rsidR="00D03EE7" w:rsidRPr="006429DB">
        <w:rPr>
          <w:color w:val="000000" w:themeColor="text1"/>
          <w:sz w:val="26"/>
          <w:szCs w:val="26"/>
        </w:rPr>
        <w:t>, влияющим</w:t>
      </w:r>
      <w:r w:rsidR="002E0960" w:rsidRPr="006429DB">
        <w:rPr>
          <w:color w:val="000000" w:themeColor="text1"/>
          <w:sz w:val="26"/>
          <w:szCs w:val="26"/>
        </w:rPr>
        <w:t>и</w:t>
      </w:r>
      <w:r w:rsidR="00D03EE7" w:rsidRPr="006429DB">
        <w:rPr>
          <w:color w:val="000000" w:themeColor="text1"/>
          <w:sz w:val="26"/>
          <w:szCs w:val="26"/>
        </w:rPr>
        <w:t xml:space="preserve"> на демографические процессы. </w:t>
      </w:r>
    </w:p>
    <w:p w:rsidR="004676D7" w:rsidRPr="003626D9" w:rsidRDefault="006429DB" w:rsidP="00764BCA">
      <w:pPr>
        <w:spacing w:line="276" w:lineRule="auto"/>
        <w:ind w:firstLine="709"/>
        <w:jc w:val="both"/>
        <w:rPr>
          <w:sz w:val="26"/>
          <w:szCs w:val="26"/>
          <w:highlight w:val="yellow"/>
        </w:rPr>
      </w:pPr>
      <w:r>
        <w:rPr>
          <w:rFonts w:cs="Arial"/>
          <w:color w:val="000000"/>
          <w:sz w:val="26"/>
          <w:szCs w:val="26"/>
        </w:rPr>
        <w:t>В то же время п</w:t>
      </w:r>
      <w:r w:rsidR="00697EBD" w:rsidRPr="0086749F">
        <w:rPr>
          <w:rFonts w:cs="Arial"/>
          <w:sz w:val="26"/>
          <w:szCs w:val="26"/>
        </w:rPr>
        <w:t xml:space="preserve">оложительным моментом в естественном движении населения является постепенное снижение общего уровня смертности. В 2017 году число умерших в области по сравнению с предыдущим годом уменьшилось на 747 </w:t>
      </w:r>
      <w:r w:rsidR="00697EBD" w:rsidRPr="00085979">
        <w:rPr>
          <w:rFonts w:cs="Arial"/>
          <w:sz w:val="26"/>
          <w:szCs w:val="26"/>
        </w:rPr>
        <w:t>человек (-4,8%)</w:t>
      </w:r>
      <w:r w:rsidR="00BE2BEC" w:rsidRPr="00085979">
        <w:rPr>
          <w:rFonts w:cs="Arial"/>
          <w:sz w:val="26"/>
          <w:szCs w:val="26"/>
        </w:rPr>
        <w:t xml:space="preserve">. В то же время </w:t>
      </w:r>
      <w:r w:rsidR="004676D7" w:rsidRPr="00085979">
        <w:rPr>
          <w:sz w:val="26"/>
          <w:szCs w:val="26"/>
        </w:rPr>
        <w:t>самые высокие общие коэффициенты смертности (более</w:t>
      </w:r>
      <w:r w:rsidR="006B5EA6">
        <w:rPr>
          <w:sz w:val="26"/>
          <w:szCs w:val="26"/>
        </w:rPr>
        <w:br/>
      </w:r>
      <w:r w:rsidR="004676D7" w:rsidRPr="00085979">
        <w:rPr>
          <w:sz w:val="26"/>
          <w:szCs w:val="26"/>
        </w:rPr>
        <w:t xml:space="preserve">20 человек умерших на 1000 населения) </w:t>
      </w:r>
      <w:r w:rsidR="00BE2BEC" w:rsidRPr="00085979">
        <w:rPr>
          <w:sz w:val="26"/>
          <w:szCs w:val="26"/>
        </w:rPr>
        <w:t xml:space="preserve">в 2017 году </w:t>
      </w:r>
      <w:r w:rsidR="004676D7" w:rsidRPr="00085979">
        <w:rPr>
          <w:sz w:val="26"/>
          <w:szCs w:val="26"/>
        </w:rPr>
        <w:t xml:space="preserve">зафиксированы в сельских районах: в Верхнетоемском, Красноборском, Лешуконском и Холмогорском районах.  </w:t>
      </w:r>
    </w:p>
    <w:p w:rsidR="00BE2BEC" w:rsidRPr="00085979" w:rsidRDefault="00085979" w:rsidP="00764BCA">
      <w:pPr>
        <w:pStyle w:val="a5"/>
        <w:spacing w:before="0"/>
        <w:ind w:firstLine="720"/>
        <w:rPr>
          <w:rFonts w:ascii="Times New Roman" w:hAnsi="Times New Roman" w:cs="Times New Roman"/>
          <w:sz w:val="26"/>
          <w:szCs w:val="26"/>
        </w:rPr>
      </w:pPr>
      <w:r w:rsidRPr="00085979">
        <w:rPr>
          <w:rFonts w:ascii="Times New Roman" w:hAnsi="Times New Roman" w:cs="Times New Roman"/>
          <w:sz w:val="26"/>
          <w:szCs w:val="26"/>
        </w:rPr>
        <w:t>При этом о</w:t>
      </w:r>
      <w:r w:rsidR="00BE2BEC" w:rsidRPr="00085979">
        <w:rPr>
          <w:rFonts w:ascii="Times New Roman" w:hAnsi="Times New Roman" w:cs="Times New Roman"/>
          <w:sz w:val="26"/>
          <w:szCs w:val="26"/>
        </w:rPr>
        <w:t>бщий уровень смертности сельских жителей в 1,5 раза выше, чем городских.  В 2017 году их доля в общем числе умерших составила 30%, при доле</w:t>
      </w:r>
      <w:r w:rsidR="006B5EA6">
        <w:rPr>
          <w:rFonts w:ascii="Times New Roman" w:hAnsi="Times New Roman" w:cs="Times New Roman"/>
          <w:sz w:val="26"/>
          <w:szCs w:val="26"/>
        </w:rPr>
        <w:br/>
      </w:r>
      <w:r w:rsidR="00BE2BEC" w:rsidRPr="00085979">
        <w:rPr>
          <w:rFonts w:ascii="Times New Roman" w:hAnsi="Times New Roman" w:cs="Times New Roman"/>
          <w:sz w:val="26"/>
          <w:szCs w:val="26"/>
        </w:rPr>
        <w:t xml:space="preserve">в общей численности 22%. </w:t>
      </w:r>
    </w:p>
    <w:p w:rsidR="002E0960" w:rsidRPr="00C52D61" w:rsidRDefault="002E0960" w:rsidP="002E0960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C52D61">
        <w:rPr>
          <w:spacing w:val="-2"/>
          <w:sz w:val="26"/>
          <w:szCs w:val="26"/>
        </w:rPr>
        <w:lastRenderedPageBreak/>
        <w:t>По базовому варианту прогноза численность</w:t>
      </w:r>
      <w:r w:rsidRPr="00C52D61">
        <w:rPr>
          <w:sz w:val="26"/>
          <w:szCs w:val="26"/>
        </w:rPr>
        <w:t xml:space="preserve"> родившихся в 2021 году</w:t>
      </w:r>
      <w:r w:rsidR="006B5EA6">
        <w:rPr>
          <w:sz w:val="26"/>
          <w:szCs w:val="26"/>
        </w:rPr>
        <w:br/>
      </w:r>
      <w:r w:rsidRPr="00C52D61">
        <w:rPr>
          <w:sz w:val="26"/>
          <w:szCs w:val="26"/>
        </w:rPr>
        <w:t>по сравнению с 2018</w:t>
      </w:r>
      <w:r w:rsidR="00764BCA">
        <w:rPr>
          <w:sz w:val="26"/>
          <w:szCs w:val="26"/>
        </w:rPr>
        <w:t xml:space="preserve"> </w:t>
      </w:r>
      <w:r w:rsidRPr="00C52D61">
        <w:rPr>
          <w:sz w:val="26"/>
          <w:szCs w:val="26"/>
        </w:rPr>
        <w:t>годом сократится на 3,3%, численность умерших на 6,9%.</w:t>
      </w:r>
    </w:p>
    <w:p w:rsidR="009015D6" w:rsidRPr="006B5EA6" w:rsidRDefault="009015D6" w:rsidP="0089436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EA6">
        <w:rPr>
          <w:rFonts w:ascii="Times New Roman" w:hAnsi="Times New Roman" w:cs="Times New Roman"/>
          <w:sz w:val="26"/>
          <w:szCs w:val="26"/>
        </w:rPr>
        <w:t>Прогнозируется постепенное сокращение сальдо миграции</w:t>
      </w:r>
      <w:r w:rsidR="006B5EA6" w:rsidRPr="006B5EA6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6B5EA6">
        <w:rPr>
          <w:rFonts w:ascii="Times New Roman" w:hAnsi="Times New Roman" w:cs="Times New Roman"/>
          <w:sz w:val="26"/>
          <w:szCs w:val="26"/>
        </w:rPr>
        <w:t>:</w:t>
      </w:r>
      <w:r w:rsidR="006B5EA6">
        <w:rPr>
          <w:rFonts w:ascii="Times New Roman" w:hAnsi="Times New Roman" w:cs="Times New Roman"/>
          <w:sz w:val="26"/>
          <w:szCs w:val="26"/>
        </w:rPr>
        <w:br/>
      </w:r>
      <w:r w:rsidRPr="006B5EA6">
        <w:rPr>
          <w:rFonts w:ascii="Times New Roman" w:hAnsi="Times New Roman" w:cs="Times New Roman"/>
          <w:sz w:val="26"/>
          <w:szCs w:val="26"/>
        </w:rPr>
        <w:t xml:space="preserve">с </w:t>
      </w:r>
      <w:r w:rsidR="006B5EA6" w:rsidRPr="006B5EA6">
        <w:rPr>
          <w:rFonts w:ascii="Times New Roman" w:hAnsi="Times New Roman" w:cs="Times New Roman"/>
          <w:sz w:val="26"/>
          <w:szCs w:val="26"/>
        </w:rPr>
        <w:t>-6,7 тыс.</w:t>
      </w:r>
      <w:r w:rsidRPr="006B5EA6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6B5EA6" w:rsidRPr="006B5EA6">
        <w:rPr>
          <w:rFonts w:ascii="Times New Roman" w:hAnsi="Times New Roman" w:cs="Times New Roman"/>
          <w:sz w:val="26"/>
          <w:szCs w:val="26"/>
        </w:rPr>
        <w:t xml:space="preserve">в 2017 году </w:t>
      </w:r>
      <w:r w:rsidRPr="006B5EA6">
        <w:rPr>
          <w:rFonts w:ascii="Times New Roman" w:hAnsi="Times New Roman" w:cs="Times New Roman"/>
          <w:sz w:val="26"/>
          <w:szCs w:val="26"/>
        </w:rPr>
        <w:t>до 5</w:t>
      </w:r>
      <w:r w:rsidR="006B5EA6" w:rsidRPr="006B5EA6">
        <w:rPr>
          <w:rFonts w:ascii="Times New Roman" w:hAnsi="Times New Roman" w:cs="Times New Roman"/>
          <w:sz w:val="26"/>
          <w:szCs w:val="26"/>
        </w:rPr>
        <w:t>,</w:t>
      </w:r>
      <w:r w:rsidR="00133266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6B5EA6" w:rsidRPr="006B5EA6">
        <w:rPr>
          <w:rFonts w:ascii="Times New Roman" w:hAnsi="Times New Roman" w:cs="Times New Roman"/>
          <w:sz w:val="26"/>
          <w:szCs w:val="26"/>
        </w:rPr>
        <w:t xml:space="preserve"> тыс.</w:t>
      </w:r>
      <w:r w:rsidRPr="006B5EA6">
        <w:rPr>
          <w:rFonts w:ascii="Times New Roman" w:hAnsi="Times New Roman" w:cs="Times New Roman"/>
          <w:sz w:val="26"/>
          <w:szCs w:val="26"/>
        </w:rPr>
        <w:t xml:space="preserve"> человек в 202</w:t>
      </w:r>
      <w:r w:rsidR="00F05089" w:rsidRPr="006B5EA6">
        <w:rPr>
          <w:rFonts w:ascii="Times New Roman" w:hAnsi="Times New Roman" w:cs="Times New Roman"/>
          <w:sz w:val="26"/>
          <w:szCs w:val="26"/>
        </w:rPr>
        <w:t>1</w:t>
      </w:r>
      <w:r w:rsidRPr="006B5EA6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9015D6" w:rsidRPr="006B5EA6" w:rsidRDefault="009015D6" w:rsidP="00894363">
      <w:pPr>
        <w:spacing w:line="276" w:lineRule="auto"/>
        <w:ind w:firstLine="709"/>
        <w:jc w:val="both"/>
        <w:rPr>
          <w:sz w:val="26"/>
          <w:szCs w:val="26"/>
        </w:rPr>
      </w:pPr>
      <w:r w:rsidRPr="006B5EA6">
        <w:rPr>
          <w:sz w:val="26"/>
          <w:szCs w:val="26"/>
        </w:rPr>
        <w:t>Таким образом, прогноз численности постоянного населения</w:t>
      </w:r>
      <w:r w:rsidR="006B5EA6">
        <w:rPr>
          <w:sz w:val="26"/>
          <w:szCs w:val="26"/>
        </w:rPr>
        <w:br/>
      </w:r>
      <w:r w:rsidRPr="006B5EA6">
        <w:rPr>
          <w:sz w:val="26"/>
          <w:szCs w:val="26"/>
        </w:rPr>
        <w:t>на 201</w:t>
      </w:r>
      <w:r w:rsidR="00F05089" w:rsidRPr="006B5EA6">
        <w:rPr>
          <w:sz w:val="26"/>
          <w:szCs w:val="26"/>
        </w:rPr>
        <w:t>9</w:t>
      </w:r>
      <w:r w:rsidRPr="006B5EA6">
        <w:rPr>
          <w:sz w:val="26"/>
          <w:szCs w:val="26"/>
        </w:rPr>
        <w:t>-202</w:t>
      </w:r>
      <w:r w:rsidR="00F05089" w:rsidRPr="006B5EA6">
        <w:rPr>
          <w:sz w:val="26"/>
          <w:szCs w:val="26"/>
        </w:rPr>
        <w:t>1</w:t>
      </w:r>
      <w:r w:rsidRPr="006B5EA6">
        <w:rPr>
          <w:sz w:val="26"/>
          <w:szCs w:val="26"/>
        </w:rPr>
        <w:t xml:space="preserve"> годы предполагает, что численность населения Архангельской области будет </w:t>
      </w:r>
      <w:r w:rsidR="005763EF" w:rsidRPr="006B5EA6">
        <w:rPr>
          <w:sz w:val="26"/>
          <w:szCs w:val="26"/>
        </w:rPr>
        <w:t>ежегодно сокращаться на 0,</w:t>
      </w:r>
      <w:r w:rsidR="00F05089" w:rsidRPr="006B5EA6">
        <w:rPr>
          <w:sz w:val="26"/>
          <w:szCs w:val="26"/>
        </w:rPr>
        <w:t>8</w:t>
      </w:r>
      <w:r w:rsidR="005763EF" w:rsidRPr="006B5EA6">
        <w:rPr>
          <w:sz w:val="26"/>
          <w:szCs w:val="26"/>
        </w:rPr>
        <w:t>%</w:t>
      </w:r>
      <w:r w:rsidRPr="006B5EA6">
        <w:rPr>
          <w:sz w:val="26"/>
          <w:szCs w:val="26"/>
        </w:rPr>
        <w:t>.</w:t>
      </w:r>
    </w:p>
    <w:p w:rsidR="009015D6" w:rsidRPr="00764BCA" w:rsidRDefault="009015D6" w:rsidP="0089436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4BCA">
        <w:rPr>
          <w:rFonts w:ascii="Times New Roman" w:hAnsi="Times New Roman" w:cs="Times New Roman"/>
          <w:sz w:val="26"/>
          <w:szCs w:val="26"/>
        </w:rPr>
        <w:t>Среднегодовая численность населения Архангельской области в 201</w:t>
      </w:r>
      <w:r w:rsidR="00F05089" w:rsidRPr="00764BCA">
        <w:rPr>
          <w:rFonts w:ascii="Times New Roman" w:hAnsi="Times New Roman" w:cs="Times New Roman"/>
          <w:sz w:val="26"/>
          <w:szCs w:val="26"/>
        </w:rPr>
        <w:t>9</w:t>
      </w:r>
      <w:r w:rsidRPr="00764BCA">
        <w:rPr>
          <w:rFonts w:ascii="Times New Roman" w:hAnsi="Times New Roman" w:cs="Times New Roman"/>
          <w:sz w:val="26"/>
          <w:szCs w:val="26"/>
        </w:rPr>
        <w:t xml:space="preserve"> году составит – 1</w:t>
      </w:r>
      <w:r w:rsidR="00764BCA" w:rsidRPr="00764BCA">
        <w:rPr>
          <w:rFonts w:ascii="Times New Roman" w:hAnsi="Times New Roman" w:cs="Times New Roman"/>
          <w:sz w:val="26"/>
          <w:szCs w:val="26"/>
        </w:rPr>
        <w:t> </w:t>
      </w:r>
      <w:r w:rsidR="00F05089" w:rsidRPr="00764BCA">
        <w:rPr>
          <w:rFonts w:ascii="Times New Roman" w:hAnsi="Times New Roman" w:cs="Times New Roman"/>
          <w:sz w:val="26"/>
          <w:szCs w:val="26"/>
        </w:rPr>
        <w:t>09</w:t>
      </w:r>
      <w:r w:rsidR="00764BCA" w:rsidRPr="00764BCA">
        <w:rPr>
          <w:rFonts w:ascii="Times New Roman" w:hAnsi="Times New Roman" w:cs="Times New Roman"/>
          <w:sz w:val="26"/>
          <w:szCs w:val="26"/>
        </w:rPr>
        <w:t>6,95</w:t>
      </w:r>
      <w:r w:rsidRPr="00764BCA">
        <w:rPr>
          <w:rFonts w:ascii="Times New Roman" w:hAnsi="Times New Roman" w:cs="Times New Roman"/>
          <w:sz w:val="26"/>
          <w:szCs w:val="26"/>
        </w:rPr>
        <w:t xml:space="preserve"> тыс. человек,</w:t>
      </w:r>
      <w:r w:rsidR="00F05089" w:rsidRPr="00764BCA">
        <w:rPr>
          <w:rFonts w:ascii="Times New Roman" w:hAnsi="Times New Roman" w:cs="Times New Roman"/>
          <w:sz w:val="26"/>
          <w:szCs w:val="26"/>
        </w:rPr>
        <w:t xml:space="preserve"> </w:t>
      </w:r>
      <w:r w:rsidRPr="00764BCA">
        <w:rPr>
          <w:rFonts w:ascii="Times New Roman" w:hAnsi="Times New Roman" w:cs="Times New Roman"/>
          <w:sz w:val="26"/>
          <w:szCs w:val="26"/>
        </w:rPr>
        <w:t>в 2020 году сократится</w:t>
      </w:r>
      <w:r w:rsidR="00F05089" w:rsidRPr="00764BCA">
        <w:rPr>
          <w:rFonts w:ascii="Times New Roman" w:hAnsi="Times New Roman" w:cs="Times New Roman"/>
          <w:sz w:val="26"/>
          <w:szCs w:val="26"/>
        </w:rPr>
        <w:t xml:space="preserve"> </w:t>
      </w:r>
      <w:r w:rsidRPr="00764BCA">
        <w:rPr>
          <w:rFonts w:ascii="Times New Roman" w:hAnsi="Times New Roman" w:cs="Times New Roman"/>
          <w:sz w:val="26"/>
          <w:szCs w:val="26"/>
        </w:rPr>
        <w:t>до 1</w:t>
      </w:r>
      <w:r w:rsidR="00764BCA" w:rsidRPr="00764BCA">
        <w:rPr>
          <w:rFonts w:ascii="Times New Roman" w:hAnsi="Times New Roman" w:cs="Times New Roman"/>
          <w:sz w:val="26"/>
          <w:szCs w:val="26"/>
        </w:rPr>
        <w:t> </w:t>
      </w:r>
      <w:r w:rsidRPr="00764BCA">
        <w:rPr>
          <w:rFonts w:ascii="Times New Roman" w:hAnsi="Times New Roman" w:cs="Times New Roman"/>
          <w:sz w:val="26"/>
          <w:szCs w:val="26"/>
        </w:rPr>
        <w:t>0</w:t>
      </w:r>
      <w:r w:rsidR="00764BCA" w:rsidRPr="00764BCA">
        <w:rPr>
          <w:rFonts w:ascii="Times New Roman" w:hAnsi="Times New Roman" w:cs="Times New Roman"/>
          <w:sz w:val="26"/>
          <w:szCs w:val="26"/>
        </w:rPr>
        <w:t xml:space="preserve">87,92 </w:t>
      </w:r>
      <w:r w:rsidRPr="00764BCA">
        <w:rPr>
          <w:rFonts w:ascii="Times New Roman" w:hAnsi="Times New Roman" w:cs="Times New Roman"/>
          <w:sz w:val="26"/>
          <w:szCs w:val="26"/>
        </w:rPr>
        <w:t>тыс. человек</w:t>
      </w:r>
      <w:r w:rsidR="00764BCA" w:rsidRPr="00764BCA">
        <w:rPr>
          <w:rFonts w:ascii="Times New Roman" w:hAnsi="Times New Roman" w:cs="Times New Roman"/>
          <w:sz w:val="26"/>
          <w:szCs w:val="26"/>
        </w:rPr>
        <w:t>, а в 2021 году</w:t>
      </w:r>
      <w:r w:rsidRPr="00764BCA">
        <w:rPr>
          <w:rFonts w:ascii="Times New Roman" w:hAnsi="Times New Roman" w:cs="Times New Roman"/>
          <w:sz w:val="26"/>
          <w:szCs w:val="26"/>
        </w:rPr>
        <w:t xml:space="preserve"> до 1</w:t>
      </w:r>
      <w:r w:rsidR="00764BCA" w:rsidRPr="00764BCA">
        <w:rPr>
          <w:rFonts w:ascii="Times New Roman" w:hAnsi="Times New Roman" w:cs="Times New Roman"/>
          <w:sz w:val="26"/>
          <w:szCs w:val="26"/>
        </w:rPr>
        <w:t> </w:t>
      </w:r>
      <w:r w:rsidRPr="00764BCA">
        <w:rPr>
          <w:rFonts w:ascii="Times New Roman" w:hAnsi="Times New Roman" w:cs="Times New Roman"/>
          <w:sz w:val="26"/>
          <w:szCs w:val="26"/>
        </w:rPr>
        <w:t>0</w:t>
      </w:r>
      <w:r w:rsidR="00764BCA" w:rsidRPr="00764BCA">
        <w:rPr>
          <w:rFonts w:ascii="Times New Roman" w:hAnsi="Times New Roman" w:cs="Times New Roman"/>
          <w:sz w:val="26"/>
          <w:szCs w:val="26"/>
        </w:rPr>
        <w:t>79,3</w:t>
      </w:r>
      <w:r w:rsidR="00764BCA">
        <w:rPr>
          <w:rFonts w:ascii="Times New Roman" w:hAnsi="Times New Roman" w:cs="Times New Roman"/>
          <w:sz w:val="26"/>
          <w:szCs w:val="26"/>
        </w:rPr>
        <w:t>4</w:t>
      </w:r>
      <w:r w:rsidRPr="00764BCA">
        <w:rPr>
          <w:rFonts w:ascii="Times New Roman" w:hAnsi="Times New Roman" w:cs="Times New Roman"/>
          <w:sz w:val="26"/>
          <w:szCs w:val="26"/>
        </w:rPr>
        <w:t xml:space="preserve"> тыс. человек</w:t>
      </w:r>
      <w:r w:rsidR="00764BCA" w:rsidRPr="00764BCA">
        <w:rPr>
          <w:rFonts w:ascii="Times New Roman" w:hAnsi="Times New Roman" w:cs="Times New Roman"/>
          <w:sz w:val="26"/>
          <w:szCs w:val="26"/>
        </w:rPr>
        <w:t xml:space="preserve"> по базовому варианту</w:t>
      </w:r>
      <w:r w:rsidRPr="00764B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15D6" w:rsidRPr="008F65A3" w:rsidRDefault="009015D6" w:rsidP="0089436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5A3">
        <w:rPr>
          <w:rFonts w:ascii="Times New Roman" w:hAnsi="Times New Roman" w:cs="Times New Roman"/>
          <w:sz w:val="26"/>
          <w:szCs w:val="26"/>
        </w:rPr>
        <w:t>Положительная динамика продолжительности жизни в прогнозируемом периоде сохранится</w:t>
      </w:r>
      <w:r w:rsidR="00F05089" w:rsidRPr="008F65A3">
        <w:rPr>
          <w:rFonts w:ascii="Times New Roman" w:hAnsi="Times New Roman" w:cs="Times New Roman"/>
          <w:sz w:val="26"/>
          <w:szCs w:val="26"/>
        </w:rPr>
        <w:t xml:space="preserve">, ожидаемая продолжительность жизни </w:t>
      </w:r>
      <w:r w:rsidRPr="008F65A3">
        <w:rPr>
          <w:rFonts w:ascii="Times New Roman" w:hAnsi="Times New Roman" w:cs="Times New Roman"/>
          <w:sz w:val="26"/>
          <w:szCs w:val="26"/>
        </w:rPr>
        <w:t>возрастет до 7</w:t>
      </w:r>
      <w:r w:rsidR="00F05089" w:rsidRPr="008F65A3">
        <w:rPr>
          <w:rFonts w:ascii="Times New Roman" w:hAnsi="Times New Roman" w:cs="Times New Roman"/>
          <w:sz w:val="26"/>
          <w:szCs w:val="26"/>
        </w:rPr>
        <w:t>3-74</w:t>
      </w:r>
      <w:r w:rsidRPr="008F65A3">
        <w:rPr>
          <w:rFonts w:ascii="Times New Roman" w:hAnsi="Times New Roman" w:cs="Times New Roman"/>
          <w:sz w:val="26"/>
          <w:szCs w:val="26"/>
        </w:rPr>
        <w:t xml:space="preserve"> </w:t>
      </w:r>
      <w:r w:rsidR="00F05089" w:rsidRPr="008F65A3">
        <w:rPr>
          <w:rFonts w:ascii="Times New Roman" w:hAnsi="Times New Roman" w:cs="Times New Roman"/>
          <w:sz w:val="26"/>
          <w:szCs w:val="26"/>
        </w:rPr>
        <w:t>лет</w:t>
      </w:r>
      <w:r w:rsidRPr="008F65A3">
        <w:rPr>
          <w:rFonts w:ascii="Times New Roman" w:hAnsi="Times New Roman" w:cs="Times New Roman"/>
          <w:sz w:val="26"/>
          <w:szCs w:val="26"/>
        </w:rPr>
        <w:t>.</w:t>
      </w:r>
    </w:p>
    <w:p w:rsidR="00B14FB7" w:rsidRPr="008F65A3" w:rsidRDefault="005E374B" w:rsidP="00894363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8F65A3">
        <w:rPr>
          <w:color w:val="000000"/>
          <w:sz w:val="26"/>
          <w:szCs w:val="26"/>
        </w:rPr>
        <w:t>Д</w:t>
      </w:r>
      <w:r w:rsidR="00B14FB7" w:rsidRPr="008F65A3">
        <w:rPr>
          <w:color w:val="000000"/>
          <w:sz w:val="26"/>
          <w:szCs w:val="26"/>
        </w:rPr>
        <w:t>оля городских жителей</w:t>
      </w:r>
      <w:r w:rsidRPr="008F65A3">
        <w:rPr>
          <w:color w:val="000000"/>
          <w:sz w:val="26"/>
          <w:szCs w:val="26"/>
        </w:rPr>
        <w:t xml:space="preserve"> у</w:t>
      </w:r>
      <w:r w:rsidR="00B14FB7" w:rsidRPr="008F65A3">
        <w:rPr>
          <w:color w:val="000000"/>
          <w:sz w:val="26"/>
          <w:szCs w:val="26"/>
        </w:rPr>
        <w:t>величится к 20</w:t>
      </w:r>
      <w:r w:rsidR="005763EF" w:rsidRPr="008F65A3">
        <w:rPr>
          <w:color w:val="000000"/>
          <w:sz w:val="26"/>
          <w:szCs w:val="26"/>
        </w:rPr>
        <w:t>2</w:t>
      </w:r>
      <w:r w:rsidR="00F05089" w:rsidRPr="008F65A3">
        <w:rPr>
          <w:color w:val="000000"/>
          <w:sz w:val="26"/>
          <w:szCs w:val="26"/>
        </w:rPr>
        <w:t>1</w:t>
      </w:r>
      <w:r w:rsidR="00B14FB7" w:rsidRPr="008F65A3">
        <w:rPr>
          <w:color w:val="000000"/>
          <w:sz w:val="26"/>
          <w:szCs w:val="26"/>
        </w:rPr>
        <w:t xml:space="preserve"> году </w:t>
      </w:r>
      <w:r w:rsidR="005763EF" w:rsidRPr="008F65A3">
        <w:rPr>
          <w:color w:val="000000"/>
          <w:sz w:val="26"/>
          <w:szCs w:val="26"/>
        </w:rPr>
        <w:t xml:space="preserve">по базовому варианту прогноза </w:t>
      </w:r>
      <w:r w:rsidR="00B14FB7" w:rsidRPr="008F65A3">
        <w:rPr>
          <w:color w:val="000000"/>
          <w:sz w:val="26"/>
          <w:szCs w:val="26"/>
        </w:rPr>
        <w:t xml:space="preserve">до </w:t>
      </w:r>
      <w:r w:rsidR="00764BCA" w:rsidRPr="008F65A3">
        <w:rPr>
          <w:color w:val="000000"/>
          <w:sz w:val="26"/>
          <w:szCs w:val="26"/>
        </w:rPr>
        <w:t>80</w:t>
      </w:r>
      <w:r w:rsidR="00B14FB7" w:rsidRPr="008F65A3">
        <w:rPr>
          <w:color w:val="000000"/>
          <w:sz w:val="26"/>
          <w:szCs w:val="26"/>
        </w:rPr>
        <w:t xml:space="preserve">%. </w:t>
      </w:r>
    </w:p>
    <w:p w:rsidR="00222E51" w:rsidRPr="008F65A3" w:rsidRDefault="00FC7B3C" w:rsidP="008F65A3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8F65A3">
        <w:rPr>
          <w:b/>
          <w:color w:val="000000"/>
          <w:sz w:val="26"/>
          <w:szCs w:val="26"/>
        </w:rPr>
        <w:t>В Ненецком автономном округе</w:t>
      </w:r>
      <w:r w:rsidRPr="008F65A3">
        <w:rPr>
          <w:color w:val="000000"/>
          <w:sz w:val="26"/>
          <w:szCs w:val="26"/>
        </w:rPr>
        <w:t xml:space="preserve"> численность населения имеет тенденцию </w:t>
      </w:r>
      <w:r w:rsidR="002529DB" w:rsidRPr="008F65A3">
        <w:rPr>
          <w:color w:val="000000"/>
          <w:sz w:val="26"/>
          <w:szCs w:val="26"/>
        </w:rPr>
        <w:br/>
      </w:r>
      <w:r w:rsidRPr="008F65A3">
        <w:rPr>
          <w:color w:val="000000"/>
          <w:sz w:val="26"/>
          <w:szCs w:val="26"/>
        </w:rPr>
        <w:t>к увеличению, за счет естественного и миграционного прироста. Наблюдается рост чи</w:t>
      </w:r>
      <w:r w:rsidR="00351F2C" w:rsidRPr="008F65A3">
        <w:rPr>
          <w:color w:val="000000"/>
          <w:sz w:val="26"/>
          <w:szCs w:val="26"/>
        </w:rPr>
        <w:t xml:space="preserve">сленности городского населения </w:t>
      </w:r>
      <w:r w:rsidRPr="008F65A3">
        <w:rPr>
          <w:color w:val="000000"/>
          <w:sz w:val="26"/>
          <w:szCs w:val="26"/>
        </w:rPr>
        <w:t>при одновременном сокращении ч</w:t>
      </w:r>
      <w:r w:rsidR="003A28A1" w:rsidRPr="008F65A3">
        <w:rPr>
          <w:color w:val="000000"/>
          <w:sz w:val="26"/>
          <w:szCs w:val="26"/>
        </w:rPr>
        <w:t>исленности сельского населения.</w:t>
      </w:r>
      <w:r w:rsidR="00222E51" w:rsidRPr="008F65A3">
        <w:rPr>
          <w:color w:val="000000"/>
          <w:sz w:val="26"/>
          <w:szCs w:val="26"/>
        </w:rPr>
        <w:t xml:space="preserve"> </w:t>
      </w:r>
    </w:p>
    <w:p w:rsidR="00222E51" w:rsidRPr="008F65A3" w:rsidRDefault="00222E51" w:rsidP="008F65A3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8F65A3">
        <w:rPr>
          <w:color w:val="000000"/>
          <w:sz w:val="26"/>
          <w:szCs w:val="26"/>
        </w:rPr>
        <w:t xml:space="preserve">Среднегодовая численность постоянного населения в Ненецком автономном округе за 2018 год прогнозируется 44,1 тыс. человек с перспективой незначительного увеличения к 2024 году до 44,5 тыс. человек. </w:t>
      </w:r>
    </w:p>
    <w:p w:rsidR="00222E51" w:rsidRPr="008F65A3" w:rsidRDefault="00222E51" w:rsidP="008F65A3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8F65A3">
        <w:rPr>
          <w:color w:val="000000"/>
          <w:sz w:val="26"/>
          <w:szCs w:val="26"/>
        </w:rPr>
        <w:t>В округе сохраняется положительный естественный прирост населения, несмотря на тенденцию снижения его уровня. В 2017 году коэффициент естественного прироста населения составил 6,6 %, к 2024 году он прогнозируется</w:t>
      </w:r>
      <w:r w:rsidRPr="008F65A3">
        <w:rPr>
          <w:color w:val="000000"/>
          <w:sz w:val="26"/>
          <w:szCs w:val="26"/>
        </w:rPr>
        <w:br/>
        <w:t xml:space="preserve">на уровне 1,9 %. </w:t>
      </w:r>
    </w:p>
    <w:p w:rsidR="00222E51" w:rsidRPr="008F65A3" w:rsidRDefault="00222E51" w:rsidP="008F65A3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8F65A3">
        <w:rPr>
          <w:color w:val="000000"/>
          <w:sz w:val="26"/>
          <w:szCs w:val="26"/>
        </w:rPr>
        <w:t>Миграционная убыль по итогам 2017 года составила 231 человек. В 2018 году миграционная убыль ожидается порядка 80 человек, в прогнозном периоде 2019-2024 годов существенных изменений не ожидается.</w:t>
      </w:r>
    </w:p>
    <w:p w:rsidR="00255D06" w:rsidRPr="003626D9" w:rsidRDefault="00255D06" w:rsidP="00222E51">
      <w:pPr>
        <w:ind w:firstLine="700"/>
        <w:jc w:val="both"/>
        <w:rPr>
          <w:sz w:val="26"/>
          <w:szCs w:val="26"/>
          <w:highlight w:val="yellow"/>
        </w:rPr>
      </w:pPr>
    </w:p>
    <w:p w:rsidR="00591376" w:rsidRPr="00255D06" w:rsidRDefault="00591376" w:rsidP="00D94221">
      <w:pPr>
        <w:pStyle w:val="1"/>
        <w:spacing w:before="0" w:after="0"/>
        <w:rPr>
          <w:szCs w:val="26"/>
        </w:rPr>
      </w:pPr>
      <w:r w:rsidRPr="00255D06">
        <w:rPr>
          <w:szCs w:val="26"/>
        </w:rPr>
        <w:t>Производство товаров и услуг</w:t>
      </w:r>
      <w:r w:rsidR="008C0FF0" w:rsidRPr="00255D06">
        <w:rPr>
          <w:szCs w:val="26"/>
        </w:rPr>
        <w:t>.</w:t>
      </w:r>
    </w:p>
    <w:p w:rsidR="00591376" w:rsidRPr="00255D06" w:rsidRDefault="00591376" w:rsidP="00D94221">
      <w:pPr>
        <w:pStyle w:val="2"/>
        <w:spacing w:before="0" w:after="0" w:line="288" w:lineRule="auto"/>
        <w:rPr>
          <w:sz w:val="26"/>
        </w:rPr>
      </w:pPr>
      <w:r w:rsidRPr="00255D06">
        <w:rPr>
          <w:sz w:val="26"/>
        </w:rPr>
        <w:t>Валовой региональный продукт</w:t>
      </w:r>
      <w:r w:rsidR="008C0FF0" w:rsidRPr="00255D06">
        <w:rPr>
          <w:sz w:val="26"/>
        </w:rPr>
        <w:t>.</w:t>
      </w:r>
    </w:p>
    <w:p w:rsidR="002728F9" w:rsidRPr="00255D06" w:rsidRDefault="002728F9" w:rsidP="002728F9">
      <w:pPr>
        <w:spacing w:line="276" w:lineRule="auto"/>
        <w:ind w:firstLine="700"/>
        <w:jc w:val="both"/>
        <w:rPr>
          <w:sz w:val="26"/>
          <w:szCs w:val="26"/>
        </w:rPr>
      </w:pPr>
      <w:r w:rsidRPr="00255D06">
        <w:rPr>
          <w:sz w:val="26"/>
          <w:szCs w:val="26"/>
        </w:rPr>
        <w:t>Валовой региональный продукт (далее - ВРП) за 201</w:t>
      </w:r>
      <w:r w:rsidR="005C21DB" w:rsidRPr="00255D06">
        <w:rPr>
          <w:sz w:val="26"/>
          <w:szCs w:val="26"/>
        </w:rPr>
        <w:t>7</w:t>
      </w:r>
      <w:r w:rsidRPr="00255D06">
        <w:rPr>
          <w:sz w:val="26"/>
          <w:szCs w:val="26"/>
        </w:rPr>
        <w:t xml:space="preserve"> год, исходя </w:t>
      </w:r>
      <w:r w:rsidRPr="00255D06">
        <w:rPr>
          <w:sz w:val="26"/>
          <w:szCs w:val="26"/>
        </w:rPr>
        <w:br/>
        <w:t>из уточненных данных об объемах производства ВРП за 201</w:t>
      </w:r>
      <w:r w:rsidR="005C21DB" w:rsidRPr="00255D06">
        <w:rPr>
          <w:sz w:val="26"/>
          <w:szCs w:val="26"/>
        </w:rPr>
        <w:t>5</w:t>
      </w:r>
      <w:r w:rsidRPr="00255D06">
        <w:rPr>
          <w:sz w:val="26"/>
          <w:szCs w:val="26"/>
        </w:rPr>
        <w:t xml:space="preserve"> год и отчета </w:t>
      </w:r>
      <w:r w:rsidRPr="00255D06">
        <w:rPr>
          <w:sz w:val="26"/>
          <w:szCs w:val="26"/>
        </w:rPr>
        <w:br/>
        <w:t>за 201</w:t>
      </w:r>
      <w:r w:rsidR="005C21DB" w:rsidRPr="00255D06">
        <w:rPr>
          <w:sz w:val="26"/>
          <w:szCs w:val="26"/>
        </w:rPr>
        <w:t>6</w:t>
      </w:r>
      <w:r w:rsidRPr="00255D06">
        <w:rPr>
          <w:sz w:val="26"/>
          <w:szCs w:val="26"/>
        </w:rPr>
        <w:t xml:space="preserve"> год, составил, по расчетам, </w:t>
      </w:r>
      <w:r w:rsidR="00255D06" w:rsidRPr="00255D06">
        <w:rPr>
          <w:sz w:val="26"/>
          <w:szCs w:val="26"/>
        </w:rPr>
        <w:t>472,0</w:t>
      </w:r>
      <w:r w:rsidRPr="00255D06">
        <w:rPr>
          <w:sz w:val="26"/>
          <w:szCs w:val="26"/>
        </w:rPr>
        <w:t xml:space="preserve"> млрд. рублей, индекс физического объема к отчету 201</w:t>
      </w:r>
      <w:r w:rsidR="005C21DB" w:rsidRPr="00255D06">
        <w:rPr>
          <w:sz w:val="26"/>
          <w:szCs w:val="26"/>
        </w:rPr>
        <w:t>6</w:t>
      </w:r>
      <w:r w:rsidRPr="00255D06">
        <w:rPr>
          <w:sz w:val="26"/>
          <w:szCs w:val="26"/>
        </w:rPr>
        <w:t xml:space="preserve"> года – </w:t>
      </w:r>
      <w:r w:rsidR="005C21DB" w:rsidRPr="00255D06">
        <w:rPr>
          <w:sz w:val="26"/>
          <w:szCs w:val="26"/>
        </w:rPr>
        <w:t>103,</w:t>
      </w:r>
      <w:r w:rsidR="00255D06" w:rsidRPr="00255D06">
        <w:rPr>
          <w:sz w:val="26"/>
          <w:szCs w:val="26"/>
        </w:rPr>
        <w:t>2</w:t>
      </w:r>
      <w:r w:rsidRPr="00255D06">
        <w:rPr>
          <w:sz w:val="26"/>
          <w:szCs w:val="26"/>
        </w:rPr>
        <w:t xml:space="preserve">%. </w:t>
      </w:r>
    </w:p>
    <w:p w:rsidR="002728F9" w:rsidRDefault="002728F9" w:rsidP="002728F9">
      <w:pPr>
        <w:spacing w:line="276" w:lineRule="auto"/>
        <w:ind w:firstLine="700"/>
        <w:jc w:val="both"/>
        <w:rPr>
          <w:sz w:val="26"/>
          <w:szCs w:val="26"/>
        </w:rPr>
      </w:pPr>
      <w:r w:rsidRPr="00255D06">
        <w:rPr>
          <w:sz w:val="26"/>
          <w:szCs w:val="26"/>
        </w:rPr>
        <w:t>За 201</w:t>
      </w:r>
      <w:r w:rsidR="005C21DB" w:rsidRPr="00255D06">
        <w:rPr>
          <w:sz w:val="26"/>
          <w:szCs w:val="26"/>
        </w:rPr>
        <w:t>8</w:t>
      </w:r>
      <w:r w:rsidRPr="00255D06">
        <w:rPr>
          <w:sz w:val="26"/>
          <w:szCs w:val="26"/>
        </w:rPr>
        <w:t xml:space="preserve"> год ВРП оценивается в </w:t>
      </w:r>
      <w:r w:rsidR="00255D06" w:rsidRPr="00255D06">
        <w:rPr>
          <w:sz w:val="26"/>
          <w:szCs w:val="26"/>
        </w:rPr>
        <w:t>502,9</w:t>
      </w:r>
      <w:r w:rsidRPr="00255D06">
        <w:rPr>
          <w:sz w:val="26"/>
          <w:szCs w:val="26"/>
        </w:rPr>
        <w:t xml:space="preserve"> млрд. рублей, индекс физического объема к оценке 201</w:t>
      </w:r>
      <w:r w:rsidR="005C21DB" w:rsidRPr="00255D06">
        <w:rPr>
          <w:sz w:val="26"/>
          <w:szCs w:val="26"/>
        </w:rPr>
        <w:t>7</w:t>
      </w:r>
      <w:r w:rsidRPr="00255D06">
        <w:rPr>
          <w:sz w:val="26"/>
          <w:szCs w:val="26"/>
        </w:rPr>
        <w:t xml:space="preserve"> года – </w:t>
      </w:r>
      <w:r w:rsidR="005C21DB" w:rsidRPr="00255D06">
        <w:rPr>
          <w:sz w:val="26"/>
          <w:szCs w:val="26"/>
        </w:rPr>
        <w:t>10</w:t>
      </w:r>
      <w:r w:rsidR="00255D06" w:rsidRPr="00255D06">
        <w:rPr>
          <w:sz w:val="26"/>
          <w:szCs w:val="26"/>
        </w:rPr>
        <w:t>2</w:t>
      </w:r>
      <w:r w:rsidR="005C21DB" w:rsidRPr="00255D06">
        <w:rPr>
          <w:sz w:val="26"/>
          <w:szCs w:val="26"/>
        </w:rPr>
        <w:t>,4</w:t>
      </w:r>
      <w:r w:rsidRPr="00255D06">
        <w:rPr>
          <w:sz w:val="26"/>
          <w:szCs w:val="26"/>
        </w:rPr>
        <w:t xml:space="preserve">%. </w:t>
      </w:r>
      <w:r w:rsidR="005C21DB" w:rsidRPr="00255D06">
        <w:rPr>
          <w:sz w:val="26"/>
          <w:szCs w:val="26"/>
        </w:rPr>
        <w:t xml:space="preserve">В 2021 году, по прогнозу, валовой региональный продукт составит </w:t>
      </w:r>
      <w:r w:rsidR="00255D06" w:rsidRPr="00255D06">
        <w:rPr>
          <w:sz w:val="26"/>
          <w:szCs w:val="26"/>
        </w:rPr>
        <w:t>615,3</w:t>
      </w:r>
      <w:r w:rsidR="005C21DB" w:rsidRPr="00255D06">
        <w:rPr>
          <w:sz w:val="26"/>
          <w:szCs w:val="26"/>
        </w:rPr>
        <w:t xml:space="preserve"> млрд. рублей.</w:t>
      </w:r>
    </w:p>
    <w:p w:rsidR="00255D06" w:rsidRDefault="00255D06" w:rsidP="002728F9">
      <w:pPr>
        <w:spacing w:line="276" w:lineRule="auto"/>
        <w:ind w:firstLine="700"/>
        <w:jc w:val="both"/>
        <w:rPr>
          <w:sz w:val="26"/>
          <w:szCs w:val="26"/>
        </w:rPr>
      </w:pPr>
      <w:r w:rsidRPr="00255D06">
        <w:rPr>
          <w:sz w:val="26"/>
          <w:szCs w:val="26"/>
        </w:rPr>
        <w:t xml:space="preserve">При прогнозировании темпов роста </w:t>
      </w:r>
      <w:r>
        <w:rPr>
          <w:sz w:val="26"/>
          <w:szCs w:val="26"/>
        </w:rPr>
        <w:t xml:space="preserve">ВРП </w:t>
      </w:r>
      <w:r w:rsidRPr="00255D06">
        <w:rPr>
          <w:sz w:val="26"/>
          <w:szCs w:val="26"/>
        </w:rPr>
        <w:t>на среднесрочную перспективу учитывался прогнозируемый рост показателей по важнейшим отраслям экономики региона, а также тенденции изменения структуры валового регионального продукта, основной вклад в прирост показателя по-прежнему принадлежит промышленному производству</w:t>
      </w:r>
      <w:r>
        <w:rPr>
          <w:sz w:val="26"/>
          <w:szCs w:val="26"/>
        </w:rPr>
        <w:t>.</w:t>
      </w:r>
    </w:p>
    <w:p w:rsidR="002728F9" w:rsidRPr="00255D06" w:rsidRDefault="002728F9" w:rsidP="002728F9">
      <w:pPr>
        <w:pStyle w:val="21"/>
        <w:spacing w:before="120" w:line="288" w:lineRule="auto"/>
        <w:jc w:val="center"/>
        <w:rPr>
          <w:bCs/>
          <w:sz w:val="26"/>
          <w:szCs w:val="26"/>
        </w:rPr>
      </w:pPr>
      <w:r w:rsidRPr="00255D06">
        <w:rPr>
          <w:bCs/>
          <w:sz w:val="26"/>
          <w:szCs w:val="26"/>
        </w:rPr>
        <w:lastRenderedPageBreak/>
        <w:t>Динамика индекса физического объема ВРП за 201</w:t>
      </w:r>
      <w:r w:rsidR="005C21DB" w:rsidRPr="00255D06">
        <w:rPr>
          <w:bCs/>
          <w:sz w:val="26"/>
          <w:szCs w:val="26"/>
        </w:rPr>
        <w:t>6</w:t>
      </w:r>
      <w:r w:rsidRPr="00255D06">
        <w:rPr>
          <w:bCs/>
          <w:sz w:val="26"/>
          <w:szCs w:val="26"/>
        </w:rPr>
        <w:t>-202</w:t>
      </w:r>
      <w:r w:rsidR="005C21DB" w:rsidRPr="00255D06">
        <w:rPr>
          <w:bCs/>
          <w:sz w:val="26"/>
          <w:szCs w:val="26"/>
        </w:rPr>
        <w:t>1</w:t>
      </w:r>
      <w:r w:rsidRPr="00255D06">
        <w:rPr>
          <w:bCs/>
          <w:sz w:val="26"/>
          <w:szCs w:val="26"/>
        </w:rPr>
        <w:t xml:space="preserve"> гг.</w:t>
      </w:r>
    </w:p>
    <w:tbl>
      <w:tblPr>
        <w:tblW w:w="9361" w:type="dxa"/>
        <w:tblInd w:w="103" w:type="dxa"/>
        <w:tblLayout w:type="fixed"/>
        <w:tblLook w:val="0000"/>
      </w:tblPr>
      <w:tblGrid>
        <w:gridCol w:w="1706"/>
        <w:gridCol w:w="1275"/>
        <w:gridCol w:w="1276"/>
        <w:gridCol w:w="1276"/>
        <w:gridCol w:w="1276"/>
        <w:gridCol w:w="1276"/>
        <w:gridCol w:w="1276"/>
      </w:tblGrid>
      <w:tr w:rsidR="005C21DB" w:rsidRPr="00255D06" w:rsidTr="00060BD6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B" w:rsidRPr="00255D06" w:rsidRDefault="005C21DB" w:rsidP="005C21DB">
            <w:pPr>
              <w:spacing w:line="288" w:lineRule="auto"/>
              <w:jc w:val="center"/>
            </w:pPr>
            <w:r w:rsidRPr="00255D06"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B" w:rsidRPr="00255D06" w:rsidRDefault="005C21DB" w:rsidP="005C21DB">
            <w:pPr>
              <w:spacing w:line="288" w:lineRule="auto"/>
              <w:jc w:val="center"/>
            </w:pPr>
            <w:r w:rsidRPr="00255D06"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DB" w:rsidRPr="00255D06" w:rsidRDefault="005C21DB" w:rsidP="005C21DB">
            <w:pPr>
              <w:spacing w:line="288" w:lineRule="auto"/>
              <w:jc w:val="center"/>
            </w:pPr>
            <w:r w:rsidRPr="00255D06">
              <w:rPr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DB" w:rsidRPr="00255D06" w:rsidRDefault="005C21DB" w:rsidP="005C21DB">
            <w:pPr>
              <w:spacing w:line="288" w:lineRule="auto"/>
              <w:jc w:val="center"/>
            </w:pPr>
            <w:r w:rsidRPr="00255D06">
              <w:rPr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DB" w:rsidRPr="00255D06" w:rsidRDefault="005C21DB" w:rsidP="005C21DB">
            <w:pPr>
              <w:spacing w:line="288" w:lineRule="auto"/>
              <w:jc w:val="center"/>
            </w:pPr>
            <w:r w:rsidRPr="00255D06">
              <w:rPr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DB" w:rsidRPr="00255D06" w:rsidRDefault="005C21DB" w:rsidP="005C21DB">
            <w:pPr>
              <w:spacing w:line="288" w:lineRule="auto"/>
              <w:jc w:val="center"/>
            </w:pPr>
            <w:r w:rsidRPr="00255D06">
              <w:rPr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DB" w:rsidRPr="00255D06" w:rsidRDefault="005C21DB" w:rsidP="005C21DB">
            <w:pPr>
              <w:spacing w:line="288" w:lineRule="auto"/>
              <w:jc w:val="center"/>
            </w:pPr>
            <w:r w:rsidRPr="00255D06">
              <w:rPr>
                <w:sz w:val="22"/>
                <w:szCs w:val="22"/>
              </w:rPr>
              <w:t>2021 год</w:t>
            </w:r>
          </w:p>
        </w:tc>
      </w:tr>
      <w:tr w:rsidR="002728F9" w:rsidRPr="00255D06" w:rsidTr="00060BD6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F9" w:rsidRPr="00255D06" w:rsidRDefault="002728F9" w:rsidP="00060BD6">
            <w:pPr>
              <w:spacing w:line="288" w:lineRule="auto"/>
            </w:pPr>
            <w:r w:rsidRPr="00255D06">
              <w:rPr>
                <w:sz w:val="22"/>
                <w:szCs w:val="22"/>
              </w:rPr>
              <w:t>Валовой региональный продукт, %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F9" w:rsidRPr="00255D06" w:rsidRDefault="005C21DB" w:rsidP="00060BD6">
            <w:pPr>
              <w:spacing w:line="288" w:lineRule="auto"/>
              <w:jc w:val="center"/>
            </w:pPr>
            <w:r w:rsidRPr="00255D06">
              <w:rPr>
                <w:sz w:val="22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8F9" w:rsidRPr="00255D06" w:rsidRDefault="005C21DB" w:rsidP="00255D06">
            <w:pPr>
              <w:spacing w:line="288" w:lineRule="auto"/>
              <w:jc w:val="center"/>
            </w:pPr>
            <w:r w:rsidRPr="00255D06">
              <w:rPr>
                <w:sz w:val="22"/>
              </w:rPr>
              <w:t>103,</w:t>
            </w:r>
            <w:r w:rsidR="00255D06" w:rsidRPr="00255D06"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8F9" w:rsidRPr="00255D06" w:rsidRDefault="005C21DB" w:rsidP="00255D06">
            <w:pPr>
              <w:spacing w:line="288" w:lineRule="auto"/>
              <w:jc w:val="center"/>
            </w:pPr>
            <w:r w:rsidRPr="00255D06">
              <w:rPr>
                <w:sz w:val="22"/>
              </w:rPr>
              <w:t>10</w:t>
            </w:r>
            <w:r w:rsidR="00255D06" w:rsidRPr="00255D06">
              <w:rPr>
                <w:sz w:val="22"/>
              </w:rPr>
              <w:t>2</w:t>
            </w:r>
            <w:r w:rsidRPr="00255D06">
              <w:rPr>
                <w:sz w:val="22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8F9" w:rsidRPr="00255D06" w:rsidRDefault="005C21DB" w:rsidP="00060BD6">
            <w:pPr>
              <w:spacing w:line="288" w:lineRule="auto"/>
              <w:jc w:val="center"/>
            </w:pPr>
            <w:r w:rsidRPr="00255D06">
              <w:rPr>
                <w:sz w:val="22"/>
              </w:rPr>
              <w:t>100,</w:t>
            </w:r>
            <w:r w:rsidR="00255D06" w:rsidRPr="00255D06">
              <w:rPr>
                <w:sz w:val="22"/>
              </w:rPr>
              <w:t>8</w:t>
            </w:r>
            <w:r w:rsidR="002728F9" w:rsidRPr="00255D06">
              <w:rPr>
                <w:sz w:val="22"/>
              </w:rPr>
              <w:t xml:space="preserve"> -</w:t>
            </w:r>
          </w:p>
          <w:p w:rsidR="002728F9" w:rsidRPr="00255D06" w:rsidRDefault="00255D06" w:rsidP="00060BD6">
            <w:pPr>
              <w:spacing w:line="288" w:lineRule="auto"/>
              <w:jc w:val="center"/>
            </w:pPr>
            <w:r w:rsidRPr="00255D06">
              <w:rPr>
                <w:sz w:val="22"/>
              </w:rPr>
              <w:t>102,2</w:t>
            </w:r>
            <w:r w:rsidR="005C21DB" w:rsidRPr="00255D06">
              <w:rPr>
                <w:sz w:val="22"/>
              </w:rPr>
              <w:t xml:space="preserve"> </w:t>
            </w:r>
            <w:r w:rsidR="002728F9" w:rsidRPr="00255D06">
              <w:rPr>
                <w:sz w:val="22"/>
              </w:rPr>
              <w:t>-</w:t>
            </w:r>
          </w:p>
          <w:p w:rsidR="002728F9" w:rsidRPr="00255D06" w:rsidRDefault="00255D06" w:rsidP="0011619E">
            <w:pPr>
              <w:spacing w:line="288" w:lineRule="auto"/>
              <w:jc w:val="center"/>
            </w:pPr>
            <w:r w:rsidRPr="00255D06">
              <w:rPr>
                <w:sz w:val="22"/>
              </w:rPr>
              <w:t>103</w:t>
            </w:r>
            <w:r w:rsidR="005C21DB" w:rsidRPr="00255D06">
              <w:rPr>
                <w:sz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8F9" w:rsidRPr="00255D06" w:rsidRDefault="005C21DB" w:rsidP="00060BD6">
            <w:pPr>
              <w:spacing w:line="288" w:lineRule="auto"/>
              <w:jc w:val="center"/>
            </w:pPr>
            <w:r w:rsidRPr="00255D06">
              <w:rPr>
                <w:sz w:val="22"/>
              </w:rPr>
              <w:t>101,4</w:t>
            </w:r>
            <w:r w:rsidR="002728F9" w:rsidRPr="00255D06">
              <w:rPr>
                <w:sz w:val="22"/>
              </w:rPr>
              <w:t xml:space="preserve"> -</w:t>
            </w:r>
          </w:p>
          <w:p w:rsidR="002728F9" w:rsidRPr="00255D06" w:rsidRDefault="005C21DB" w:rsidP="00060BD6">
            <w:pPr>
              <w:spacing w:line="288" w:lineRule="auto"/>
              <w:jc w:val="center"/>
            </w:pPr>
            <w:r w:rsidRPr="00255D06">
              <w:rPr>
                <w:sz w:val="22"/>
              </w:rPr>
              <w:t>102,</w:t>
            </w:r>
            <w:r w:rsidR="00255D06" w:rsidRPr="00255D06">
              <w:rPr>
                <w:sz w:val="22"/>
              </w:rPr>
              <w:t>8</w:t>
            </w:r>
            <w:r w:rsidR="002728F9" w:rsidRPr="00255D06">
              <w:rPr>
                <w:sz w:val="22"/>
              </w:rPr>
              <w:t xml:space="preserve"> -</w:t>
            </w:r>
          </w:p>
          <w:p w:rsidR="002728F9" w:rsidRPr="00255D06" w:rsidRDefault="005C21DB" w:rsidP="00255D06">
            <w:pPr>
              <w:spacing w:line="288" w:lineRule="auto"/>
              <w:jc w:val="center"/>
            </w:pPr>
            <w:r w:rsidRPr="00255D06">
              <w:rPr>
                <w:sz w:val="22"/>
              </w:rPr>
              <w:t>104,</w:t>
            </w:r>
            <w:r w:rsidR="00255D06" w:rsidRPr="00255D06">
              <w:rPr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8F9" w:rsidRPr="00255D06" w:rsidRDefault="002728F9" w:rsidP="00060BD6">
            <w:pPr>
              <w:spacing w:line="288" w:lineRule="auto"/>
              <w:jc w:val="center"/>
            </w:pPr>
            <w:r w:rsidRPr="00255D06">
              <w:rPr>
                <w:sz w:val="22"/>
              </w:rPr>
              <w:t>10</w:t>
            </w:r>
            <w:r w:rsidR="005C21DB" w:rsidRPr="00255D06">
              <w:rPr>
                <w:sz w:val="22"/>
              </w:rPr>
              <w:t>1</w:t>
            </w:r>
            <w:r w:rsidRPr="00255D06">
              <w:rPr>
                <w:sz w:val="22"/>
              </w:rPr>
              <w:t>,2 -</w:t>
            </w:r>
          </w:p>
          <w:p w:rsidR="002728F9" w:rsidRPr="00255D06" w:rsidRDefault="002728F9" w:rsidP="00060BD6">
            <w:pPr>
              <w:spacing w:line="288" w:lineRule="auto"/>
              <w:jc w:val="center"/>
            </w:pPr>
            <w:r w:rsidRPr="00255D06">
              <w:rPr>
                <w:sz w:val="22"/>
              </w:rPr>
              <w:t>102,</w:t>
            </w:r>
            <w:r w:rsidR="005C21DB" w:rsidRPr="00255D06">
              <w:rPr>
                <w:sz w:val="22"/>
              </w:rPr>
              <w:t>5</w:t>
            </w:r>
            <w:r w:rsidRPr="00255D06">
              <w:rPr>
                <w:sz w:val="22"/>
              </w:rPr>
              <w:t xml:space="preserve"> -</w:t>
            </w:r>
          </w:p>
          <w:p w:rsidR="002728F9" w:rsidRPr="00255D06" w:rsidRDefault="005C21DB" w:rsidP="00255D06">
            <w:pPr>
              <w:spacing w:line="288" w:lineRule="auto"/>
              <w:jc w:val="center"/>
            </w:pPr>
            <w:r w:rsidRPr="00255D06">
              <w:rPr>
                <w:sz w:val="22"/>
              </w:rPr>
              <w:t>103,</w:t>
            </w:r>
            <w:r w:rsidR="00255D06" w:rsidRPr="00255D06">
              <w:rPr>
                <w:sz w:val="22"/>
              </w:rPr>
              <w:t>3</w:t>
            </w:r>
          </w:p>
        </w:tc>
      </w:tr>
    </w:tbl>
    <w:p w:rsidR="001C3210" w:rsidRPr="00255D06" w:rsidRDefault="001C3210" w:rsidP="00CE753B">
      <w:pPr>
        <w:pStyle w:val="3"/>
        <w:spacing w:after="0" w:line="288" w:lineRule="auto"/>
        <w:jc w:val="both"/>
        <w:rPr>
          <w:i w:val="0"/>
          <w:sz w:val="26"/>
          <w:szCs w:val="26"/>
        </w:rPr>
      </w:pPr>
      <w:r w:rsidRPr="00255D06">
        <w:rPr>
          <w:i w:val="0"/>
          <w:sz w:val="26"/>
          <w:szCs w:val="26"/>
        </w:rPr>
        <w:t>Валовой региональный продукт Ненецкого автономного округа.</w:t>
      </w:r>
    </w:p>
    <w:p w:rsidR="004B2D97" w:rsidRPr="00255D06" w:rsidRDefault="001C3210" w:rsidP="00FD427C">
      <w:pPr>
        <w:spacing w:line="276" w:lineRule="auto"/>
        <w:ind w:firstLine="700"/>
        <w:jc w:val="both"/>
        <w:rPr>
          <w:sz w:val="26"/>
          <w:szCs w:val="26"/>
        </w:rPr>
      </w:pPr>
      <w:r w:rsidRPr="00255D06">
        <w:rPr>
          <w:sz w:val="26"/>
          <w:szCs w:val="26"/>
        </w:rPr>
        <w:t xml:space="preserve">Экономика </w:t>
      </w:r>
      <w:r w:rsidR="00544A36" w:rsidRPr="00255D06">
        <w:rPr>
          <w:sz w:val="26"/>
          <w:szCs w:val="26"/>
        </w:rPr>
        <w:t>Ненецкого автономного округа</w:t>
      </w:r>
      <w:r w:rsidRPr="00255D06">
        <w:rPr>
          <w:sz w:val="26"/>
          <w:szCs w:val="26"/>
        </w:rPr>
        <w:t xml:space="preserve"> носит </w:t>
      </w:r>
      <w:proofErr w:type="spellStart"/>
      <w:r w:rsidRPr="00255D06">
        <w:rPr>
          <w:sz w:val="26"/>
          <w:szCs w:val="26"/>
        </w:rPr>
        <w:t>монопрофильный</w:t>
      </w:r>
      <w:proofErr w:type="spellEnd"/>
      <w:r w:rsidRPr="00255D06">
        <w:rPr>
          <w:sz w:val="26"/>
          <w:szCs w:val="26"/>
        </w:rPr>
        <w:t xml:space="preserve"> характер, и основной прирост валового регионального прод</w:t>
      </w:r>
      <w:r w:rsidR="00FD427C" w:rsidRPr="00255D06">
        <w:rPr>
          <w:sz w:val="26"/>
          <w:szCs w:val="26"/>
        </w:rPr>
        <w:t>укта обеспечивает добыча нефти.</w:t>
      </w:r>
      <w:r w:rsidR="00FD427C" w:rsidRPr="00255D06">
        <w:rPr>
          <w:sz w:val="26"/>
          <w:szCs w:val="26"/>
        </w:rPr>
        <w:br/>
      </w:r>
      <w:r w:rsidR="004B2D97" w:rsidRPr="00255D06">
        <w:rPr>
          <w:sz w:val="26"/>
          <w:szCs w:val="26"/>
        </w:rPr>
        <w:t>В 201</w:t>
      </w:r>
      <w:r w:rsidR="005C21DB" w:rsidRPr="00255D06">
        <w:rPr>
          <w:sz w:val="26"/>
          <w:szCs w:val="26"/>
        </w:rPr>
        <w:t>7</w:t>
      </w:r>
      <w:r w:rsidR="004B2D97" w:rsidRPr="00255D06">
        <w:rPr>
          <w:sz w:val="26"/>
          <w:szCs w:val="26"/>
        </w:rPr>
        <w:t xml:space="preserve"> году объем валового регионального продукта в Ненецком автономном округе по базовому варианту прогноза составил </w:t>
      </w:r>
      <w:r w:rsidR="005C21DB" w:rsidRPr="00255D06">
        <w:rPr>
          <w:sz w:val="26"/>
          <w:szCs w:val="26"/>
        </w:rPr>
        <w:t>281,0</w:t>
      </w:r>
      <w:r w:rsidR="004B2D97" w:rsidRPr="00255D06">
        <w:rPr>
          <w:sz w:val="26"/>
          <w:szCs w:val="26"/>
        </w:rPr>
        <w:t xml:space="preserve"> млрд. рублей. А к 202</w:t>
      </w:r>
      <w:r w:rsidR="005C21DB" w:rsidRPr="00255D06">
        <w:rPr>
          <w:sz w:val="26"/>
          <w:szCs w:val="26"/>
        </w:rPr>
        <w:t>1</w:t>
      </w:r>
      <w:r w:rsidR="004B2D97" w:rsidRPr="00255D06">
        <w:rPr>
          <w:sz w:val="26"/>
          <w:szCs w:val="26"/>
        </w:rPr>
        <w:t xml:space="preserve"> году валовой региональный продукт возрастет до </w:t>
      </w:r>
      <w:r w:rsidR="005C21DB" w:rsidRPr="00255D06">
        <w:rPr>
          <w:sz w:val="26"/>
          <w:szCs w:val="26"/>
        </w:rPr>
        <w:t>364,8</w:t>
      </w:r>
      <w:r w:rsidR="004B2D97" w:rsidRPr="00255D06">
        <w:rPr>
          <w:sz w:val="26"/>
          <w:szCs w:val="26"/>
        </w:rPr>
        <w:t xml:space="preserve"> млрд. рублей. </w:t>
      </w:r>
    </w:p>
    <w:p w:rsidR="004B2D97" w:rsidRPr="003626D9" w:rsidRDefault="004B2D97" w:rsidP="00FD427C">
      <w:pPr>
        <w:spacing w:line="276" w:lineRule="auto"/>
        <w:ind w:firstLine="700"/>
        <w:jc w:val="both"/>
        <w:rPr>
          <w:sz w:val="26"/>
          <w:szCs w:val="26"/>
          <w:highlight w:val="yellow"/>
        </w:rPr>
      </w:pPr>
    </w:p>
    <w:p w:rsidR="001C3210" w:rsidRPr="00255D06" w:rsidRDefault="001C3210" w:rsidP="001F2CA8">
      <w:pPr>
        <w:pStyle w:val="2"/>
        <w:spacing w:before="120" w:after="0" w:line="288" w:lineRule="auto"/>
        <w:rPr>
          <w:sz w:val="26"/>
        </w:rPr>
      </w:pPr>
      <w:r w:rsidRPr="00255D06">
        <w:rPr>
          <w:sz w:val="26"/>
        </w:rPr>
        <w:t>Промышленное производство.</w:t>
      </w:r>
    </w:p>
    <w:p w:rsidR="004E0759" w:rsidRPr="00802D7C" w:rsidRDefault="004E0759" w:rsidP="004E0759">
      <w:pPr>
        <w:pStyle w:val="21"/>
        <w:spacing w:after="0" w:line="288" w:lineRule="auto"/>
        <w:ind w:firstLine="709"/>
        <w:jc w:val="both"/>
        <w:rPr>
          <w:bCs/>
          <w:spacing w:val="-2"/>
          <w:sz w:val="26"/>
          <w:szCs w:val="26"/>
        </w:rPr>
      </w:pPr>
      <w:r w:rsidRPr="00255D06">
        <w:rPr>
          <w:bCs/>
          <w:spacing w:val="-2"/>
          <w:sz w:val="26"/>
          <w:szCs w:val="26"/>
        </w:rPr>
        <w:t xml:space="preserve">Основу промышленности Архангельской области составляют обрабатывающие производства, на долю которых </w:t>
      </w:r>
      <w:r w:rsidR="005C21DB" w:rsidRPr="00255D06">
        <w:rPr>
          <w:bCs/>
          <w:spacing w:val="-2"/>
          <w:sz w:val="26"/>
          <w:szCs w:val="26"/>
        </w:rPr>
        <w:t xml:space="preserve">по итогам 2017 года </w:t>
      </w:r>
      <w:r w:rsidRPr="00255D06">
        <w:rPr>
          <w:bCs/>
          <w:spacing w:val="-2"/>
          <w:sz w:val="26"/>
          <w:szCs w:val="26"/>
        </w:rPr>
        <w:t>приходи</w:t>
      </w:r>
      <w:r w:rsidR="005C21DB" w:rsidRPr="00255D06">
        <w:rPr>
          <w:bCs/>
          <w:spacing w:val="-2"/>
          <w:sz w:val="26"/>
          <w:szCs w:val="26"/>
        </w:rPr>
        <w:t xml:space="preserve">лось </w:t>
      </w:r>
      <w:r w:rsidR="005C21DB" w:rsidRPr="00802D7C">
        <w:rPr>
          <w:bCs/>
          <w:spacing w:val="-2"/>
          <w:sz w:val="26"/>
          <w:szCs w:val="26"/>
        </w:rPr>
        <w:t>более 8</w:t>
      </w:r>
      <w:r w:rsidRPr="00802D7C">
        <w:rPr>
          <w:bCs/>
          <w:spacing w:val="-2"/>
          <w:sz w:val="26"/>
          <w:szCs w:val="26"/>
        </w:rPr>
        <w:t>0% промышленного производства.</w:t>
      </w:r>
    </w:p>
    <w:p w:rsidR="004E0759" w:rsidRPr="00802D7C" w:rsidRDefault="004E0759" w:rsidP="004E0759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802D7C">
        <w:rPr>
          <w:bCs/>
          <w:sz w:val="26"/>
          <w:szCs w:val="26"/>
        </w:rPr>
        <w:t>Из обрабатывающих производств наиболее значимыми я</w:t>
      </w:r>
      <w:r w:rsidRPr="00802D7C">
        <w:rPr>
          <w:sz w:val="26"/>
          <w:szCs w:val="26"/>
        </w:rPr>
        <w:t xml:space="preserve">вляются лесопромышленный комплекс </w:t>
      </w:r>
      <w:r w:rsidRPr="00802D7C">
        <w:rPr>
          <w:bCs/>
          <w:sz w:val="26"/>
          <w:szCs w:val="26"/>
        </w:rPr>
        <w:t>(</w:t>
      </w:r>
      <w:r w:rsidR="004E427E" w:rsidRPr="00802D7C">
        <w:rPr>
          <w:bCs/>
          <w:sz w:val="26"/>
          <w:szCs w:val="26"/>
        </w:rPr>
        <w:t>виды экономической деятельности: «обработка древесины и производство изделий из дерева и пробки, кроме мебели, производство изделий из соломки и материалов для плетения»</w:t>
      </w:r>
      <w:r w:rsidRPr="00802D7C">
        <w:rPr>
          <w:bCs/>
          <w:sz w:val="26"/>
          <w:szCs w:val="26"/>
        </w:rPr>
        <w:t xml:space="preserve">; </w:t>
      </w:r>
      <w:r w:rsidR="004E427E" w:rsidRPr="00802D7C">
        <w:rPr>
          <w:bCs/>
          <w:sz w:val="26"/>
          <w:szCs w:val="26"/>
        </w:rPr>
        <w:t>«производство бумаги и бумажных изделий»</w:t>
      </w:r>
      <w:r w:rsidRPr="00802D7C">
        <w:rPr>
          <w:bCs/>
          <w:sz w:val="26"/>
          <w:szCs w:val="26"/>
        </w:rPr>
        <w:t xml:space="preserve">) </w:t>
      </w:r>
      <w:r w:rsidRPr="00802D7C">
        <w:rPr>
          <w:sz w:val="26"/>
          <w:szCs w:val="26"/>
        </w:rPr>
        <w:t xml:space="preserve">и судостроительный комплекс </w:t>
      </w:r>
      <w:r w:rsidRPr="00802D7C">
        <w:rPr>
          <w:bCs/>
          <w:sz w:val="26"/>
          <w:szCs w:val="26"/>
        </w:rPr>
        <w:t>(</w:t>
      </w:r>
      <w:r w:rsidR="004E427E" w:rsidRPr="00802D7C">
        <w:rPr>
          <w:bCs/>
          <w:sz w:val="26"/>
          <w:szCs w:val="26"/>
        </w:rPr>
        <w:t>вид экономической деятельности: «производство прочих транспортных средств и оборудования»</w:t>
      </w:r>
      <w:r w:rsidRPr="00802D7C">
        <w:rPr>
          <w:bCs/>
          <w:sz w:val="26"/>
          <w:szCs w:val="26"/>
        </w:rPr>
        <w:t xml:space="preserve"> и связанные с ним виды экономической деятельности)</w:t>
      </w:r>
      <w:r w:rsidRPr="00802D7C">
        <w:rPr>
          <w:sz w:val="26"/>
          <w:szCs w:val="26"/>
        </w:rPr>
        <w:t xml:space="preserve">, которые оказывают основное влияние </w:t>
      </w:r>
      <w:r w:rsidR="002966F5" w:rsidRPr="00802D7C">
        <w:rPr>
          <w:sz w:val="26"/>
          <w:szCs w:val="26"/>
        </w:rPr>
        <w:br/>
      </w:r>
      <w:r w:rsidRPr="00802D7C">
        <w:rPr>
          <w:sz w:val="26"/>
          <w:szCs w:val="26"/>
        </w:rPr>
        <w:t xml:space="preserve">на динамику промышленного производства по области в целом. Кроме того, к числу значимых отраслей относятся пищевая промышленность, энергетика. С 2015 года </w:t>
      </w:r>
      <w:r w:rsidR="002966F5" w:rsidRPr="00802D7C">
        <w:rPr>
          <w:sz w:val="26"/>
          <w:szCs w:val="26"/>
        </w:rPr>
        <w:br/>
      </w:r>
      <w:r w:rsidRPr="00802D7C">
        <w:rPr>
          <w:sz w:val="26"/>
          <w:szCs w:val="26"/>
        </w:rPr>
        <w:t>к значимым для региона отраслям можно отнести и добычу полезных ископаемых, удельный вес которой в общем объеме промышленного производства значительно вырос и по последним оценкам составил порядка 1</w:t>
      </w:r>
      <w:r w:rsidR="00802D7C" w:rsidRPr="00802D7C">
        <w:rPr>
          <w:sz w:val="26"/>
          <w:szCs w:val="26"/>
        </w:rPr>
        <w:t>3,5</w:t>
      </w:r>
      <w:r w:rsidRPr="00802D7C">
        <w:rPr>
          <w:sz w:val="26"/>
          <w:szCs w:val="26"/>
        </w:rPr>
        <w:t>%.</w:t>
      </w:r>
    </w:p>
    <w:p w:rsidR="004E0759" w:rsidRPr="00802D7C" w:rsidRDefault="004E0759" w:rsidP="004E0759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proofErr w:type="gramStart"/>
      <w:r w:rsidRPr="00802D7C">
        <w:rPr>
          <w:bCs/>
          <w:sz w:val="26"/>
          <w:szCs w:val="26"/>
        </w:rPr>
        <w:t>В целом индекс промышленного производства за 201</w:t>
      </w:r>
      <w:r w:rsidR="002966F5" w:rsidRPr="00802D7C">
        <w:rPr>
          <w:bCs/>
          <w:sz w:val="26"/>
          <w:szCs w:val="26"/>
        </w:rPr>
        <w:t>7</w:t>
      </w:r>
      <w:r w:rsidRPr="00802D7C">
        <w:rPr>
          <w:bCs/>
          <w:sz w:val="26"/>
          <w:szCs w:val="26"/>
        </w:rPr>
        <w:t xml:space="preserve"> год составил </w:t>
      </w:r>
      <w:r w:rsidR="00802D7C" w:rsidRPr="00802D7C">
        <w:rPr>
          <w:bCs/>
          <w:sz w:val="26"/>
          <w:szCs w:val="26"/>
        </w:rPr>
        <w:t>132,4</w:t>
      </w:r>
      <w:r w:rsidRPr="00802D7C">
        <w:rPr>
          <w:bCs/>
          <w:sz w:val="26"/>
          <w:szCs w:val="26"/>
        </w:rPr>
        <w:t>%.</w:t>
      </w:r>
      <w:r w:rsidRPr="00802D7C">
        <w:rPr>
          <w:bCs/>
          <w:sz w:val="26"/>
          <w:szCs w:val="26"/>
        </w:rPr>
        <w:br/>
        <w:t>В 201</w:t>
      </w:r>
      <w:r w:rsidR="002966F5" w:rsidRPr="00802D7C">
        <w:rPr>
          <w:bCs/>
          <w:sz w:val="26"/>
          <w:szCs w:val="26"/>
        </w:rPr>
        <w:t>8</w:t>
      </w:r>
      <w:r w:rsidRPr="00802D7C">
        <w:rPr>
          <w:bCs/>
          <w:sz w:val="26"/>
          <w:szCs w:val="26"/>
        </w:rPr>
        <w:t xml:space="preserve"> году индекс промышленного производства по Архангельской области в целом оценивается на уровне </w:t>
      </w:r>
      <w:r w:rsidR="00802D7C" w:rsidRPr="00802D7C">
        <w:rPr>
          <w:bCs/>
          <w:sz w:val="26"/>
          <w:szCs w:val="26"/>
        </w:rPr>
        <w:t>104,7</w:t>
      </w:r>
      <w:r w:rsidRPr="00802D7C">
        <w:rPr>
          <w:bCs/>
          <w:sz w:val="26"/>
          <w:szCs w:val="26"/>
        </w:rPr>
        <w:t>%. Прирост показателя относительно уровня 201</w:t>
      </w:r>
      <w:r w:rsidR="002966F5" w:rsidRPr="00802D7C">
        <w:rPr>
          <w:bCs/>
          <w:sz w:val="26"/>
          <w:szCs w:val="26"/>
        </w:rPr>
        <w:t>7</w:t>
      </w:r>
      <w:r w:rsidRPr="00802D7C">
        <w:rPr>
          <w:bCs/>
          <w:sz w:val="26"/>
          <w:szCs w:val="26"/>
        </w:rPr>
        <w:t xml:space="preserve"> года главным образом будет обеспечен устойчивой работой предприятий</w:t>
      </w:r>
      <w:r w:rsidRPr="00802D7C">
        <w:rPr>
          <w:bCs/>
          <w:sz w:val="26"/>
          <w:szCs w:val="26"/>
        </w:rPr>
        <w:br/>
        <w:t>в сфере судоремонта и судостроения</w:t>
      </w:r>
      <w:r w:rsidR="002966F5" w:rsidRPr="00802D7C">
        <w:rPr>
          <w:bCs/>
          <w:sz w:val="26"/>
          <w:szCs w:val="26"/>
        </w:rPr>
        <w:t>, в сфере целлюлозно-бумажного производства и добычи полезных ископаемых.</w:t>
      </w:r>
      <w:proofErr w:type="gramEnd"/>
    </w:p>
    <w:p w:rsidR="004E0759" w:rsidRPr="00802D7C" w:rsidRDefault="004E0759" w:rsidP="004E0759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802D7C">
        <w:rPr>
          <w:bCs/>
          <w:sz w:val="26"/>
          <w:szCs w:val="26"/>
        </w:rPr>
        <w:t>При этом, по оценке, по итогам 201</w:t>
      </w:r>
      <w:r w:rsidR="002966F5" w:rsidRPr="00802D7C">
        <w:rPr>
          <w:bCs/>
          <w:sz w:val="26"/>
          <w:szCs w:val="26"/>
        </w:rPr>
        <w:t>8</w:t>
      </w:r>
      <w:r w:rsidRPr="00802D7C">
        <w:rPr>
          <w:bCs/>
          <w:sz w:val="26"/>
          <w:szCs w:val="26"/>
        </w:rPr>
        <w:t xml:space="preserve"> года структура промышленного производства Архангельской области будет выглядеть следующим образом:</w:t>
      </w:r>
    </w:p>
    <w:p w:rsidR="004E0759" w:rsidRPr="00802D7C" w:rsidRDefault="004E0759" w:rsidP="004E0759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802D7C">
        <w:rPr>
          <w:bCs/>
          <w:sz w:val="26"/>
          <w:szCs w:val="26"/>
        </w:rPr>
        <w:t xml:space="preserve">удельный вес лесопромышленного комплекса – </w:t>
      </w:r>
      <w:r w:rsidR="009303B5" w:rsidRPr="00802D7C">
        <w:rPr>
          <w:bCs/>
          <w:sz w:val="26"/>
          <w:szCs w:val="26"/>
        </w:rPr>
        <w:t>48</w:t>
      </w:r>
      <w:r w:rsidRPr="00802D7C">
        <w:rPr>
          <w:bCs/>
          <w:sz w:val="26"/>
          <w:szCs w:val="26"/>
        </w:rPr>
        <w:t>%;</w:t>
      </w:r>
    </w:p>
    <w:p w:rsidR="004E0759" w:rsidRPr="00802D7C" w:rsidRDefault="004E0759" w:rsidP="004E0759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802D7C">
        <w:rPr>
          <w:bCs/>
          <w:sz w:val="26"/>
          <w:szCs w:val="26"/>
        </w:rPr>
        <w:lastRenderedPageBreak/>
        <w:t xml:space="preserve">доля машиностроения – порядка </w:t>
      </w:r>
      <w:r w:rsidR="009303B5" w:rsidRPr="00802D7C">
        <w:rPr>
          <w:bCs/>
          <w:sz w:val="26"/>
          <w:szCs w:val="26"/>
        </w:rPr>
        <w:t>15</w:t>
      </w:r>
      <w:r w:rsidRPr="00802D7C">
        <w:rPr>
          <w:bCs/>
          <w:sz w:val="26"/>
          <w:szCs w:val="26"/>
        </w:rPr>
        <w:t>%;</w:t>
      </w:r>
    </w:p>
    <w:p w:rsidR="004E0759" w:rsidRPr="00802D7C" w:rsidRDefault="004E0759" w:rsidP="004E0759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802D7C">
        <w:rPr>
          <w:bCs/>
          <w:sz w:val="26"/>
          <w:szCs w:val="26"/>
        </w:rPr>
        <w:t xml:space="preserve">на добычу полезных ископаемых будет приходится порядка </w:t>
      </w:r>
      <w:r w:rsidR="009303B5" w:rsidRPr="00802D7C">
        <w:rPr>
          <w:bCs/>
          <w:sz w:val="26"/>
          <w:szCs w:val="26"/>
        </w:rPr>
        <w:t>13</w:t>
      </w:r>
      <w:r w:rsidRPr="00802D7C">
        <w:rPr>
          <w:bCs/>
          <w:sz w:val="26"/>
          <w:szCs w:val="26"/>
        </w:rPr>
        <w:t>% промышленного производства;</w:t>
      </w:r>
    </w:p>
    <w:p w:rsidR="004E0759" w:rsidRPr="00802D7C" w:rsidRDefault="004E0759" w:rsidP="004E0759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802D7C">
        <w:rPr>
          <w:bCs/>
          <w:sz w:val="26"/>
          <w:szCs w:val="26"/>
        </w:rPr>
        <w:t>доля вида деятельности «Обеспечение электрической энергией, газом</w:t>
      </w:r>
      <w:r w:rsidRPr="00802D7C">
        <w:rPr>
          <w:bCs/>
          <w:sz w:val="26"/>
          <w:szCs w:val="26"/>
        </w:rPr>
        <w:br/>
        <w:t xml:space="preserve">и паром; кондиционирование воздуха» составит около </w:t>
      </w:r>
      <w:r w:rsidR="009303B5" w:rsidRPr="00802D7C">
        <w:rPr>
          <w:bCs/>
          <w:sz w:val="26"/>
          <w:szCs w:val="26"/>
        </w:rPr>
        <w:t>13</w:t>
      </w:r>
      <w:r w:rsidRPr="00802D7C">
        <w:rPr>
          <w:bCs/>
          <w:sz w:val="26"/>
          <w:szCs w:val="26"/>
        </w:rPr>
        <w:t>%;</w:t>
      </w:r>
    </w:p>
    <w:p w:rsidR="004E0759" w:rsidRPr="00802D7C" w:rsidRDefault="004E0759" w:rsidP="004E0759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802D7C">
        <w:rPr>
          <w:bCs/>
          <w:sz w:val="26"/>
          <w:szCs w:val="26"/>
        </w:rPr>
        <w:t xml:space="preserve">на производство пищевых продуктов и напитков – около </w:t>
      </w:r>
      <w:r w:rsidR="009303B5" w:rsidRPr="00802D7C">
        <w:rPr>
          <w:bCs/>
          <w:sz w:val="26"/>
          <w:szCs w:val="26"/>
        </w:rPr>
        <w:t>4</w:t>
      </w:r>
      <w:r w:rsidRPr="00802D7C">
        <w:rPr>
          <w:bCs/>
          <w:sz w:val="26"/>
          <w:szCs w:val="26"/>
        </w:rPr>
        <w:t>%.</w:t>
      </w:r>
    </w:p>
    <w:p w:rsidR="004E0759" w:rsidRPr="00802D7C" w:rsidRDefault="004E0759" w:rsidP="004E0759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802D7C">
        <w:rPr>
          <w:bCs/>
          <w:sz w:val="26"/>
          <w:szCs w:val="26"/>
        </w:rPr>
        <w:t>В прогнозируемый период 201</w:t>
      </w:r>
      <w:r w:rsidR="009303B5" w:rsidRPr="00802D7C">
        <w:rPr>
          <w:bCs/>
          <w:sz w:val="26"/>
          <w:szCs w:val="26"/>
        </w:rPr>
        <w:t>9</w:t>
      </w:r>
      <w:r w:rsidRPr="00802D7C">
        <w:rPr>
          <w:bCs/>
          <w:sz w:val="26"/>
          <w:szCs w:val="26"/>
        </w:rPr>
        <w:t>-202</w:t>
      </w:r>
      <w:r w:rsidR="009303B5" w:rsidRPr="00802D7C">
        <w:rPr>
          <w:bCs/>
          <w:sz w:val="26"/>
          <w:szCs w:val="26"/>
        </w:rPr>
        <w:t>1</w:t>
      </w:r>
      <w:r w:rsidRPr="00802D7C">
        <w:rPr>
          <w:bCs/>
          <w:sz w:val="26"/>
          <w:szCs w:val="26"/>
        </w:rPr>
        <w:t xml:space="preserve"> годов определяющее влияние </w:t>
      </w:r>
      <w:r w:rsidRPr="00802D7C">
        <w:rPr>
          <w:bCs/>
          <w:sz w:val="26"/>
          <w:szCs w:val="26"/>
        </w:rPr>
        <w:br/>
        <w:t>на значение индекса промышленного производства будет оказывать вид экономической деятельности «</w:t>
      </w:r>
      <w:r w:rsidR="009303B5" w:rsidRPr="00802D7C">
        <w:rPr>
          <w:bCs/>
          <w:sz w:val="26"/>
          <w:szCs w:val="26"/>
        </w:rPr>
        <w:t xml:space="preserve">Производство прочих транспортных средств </w:t>
      </w:r>
      <w:r w:rsidR="009303B5" w:rsidRPr="00802D7C">
        <w:rPr>
          <w:bCs/>
          <w:sz w:val="26"/>
          <w:szCs w:val="26"/>
        </w:rPr>
        <w:br/>
        <w:t>и оборудования</w:t>
      </w:r>
      <w:r w:rsidRPr="00802D7C">
        <w:rPr>
          <w:bCs/>
          <w:sz w:val="26"/>
          <w:szCs w:val="26"/>
        </w:rPr>
        <w:t xml:space="preserve">» и сопряженные с ним виды экономической деятельности, относящиеся к сфере машиностроения (судостроение и судоремонта). </w:t>
      </w:r>
    </w:p>
    <w:p w:rsidR="00FD1DE2" w:rsidRPr="00772F14" w:rsidRDefault="00FD1DE2" w:rsidP="001F2CA8">
      <w:pPr>
        <w:pStyle w:val="3"/>
        <w:spacing w:after="0" w:line="288" w:lineRule="auto"/>
        <w:rPr>
          <w:i w:val="0"/>
          <w:sz w:val="26"/>
          <w:szCs w:val="26"/>
        </w:rPr>
      </w:pPr>
      <w:r w:rsidRPr="00772F14">
        <w:rPr>
          <w:i w:val="0"/>
          <w:sz w:val="26"/>
          <w:szCs w:val="26"/>
        </w:rPr>
        <w:t xml:space="preserve">Добыча полезных ископаемых (раздел - </w:t>
      </w:r>
      <w:r w:rsidR="00282497" w:rsidRPr="00772F14">
        <w:rPr>
          <w:i w:val="0"/>
          <w:sz w:val="26"/>
          <w:szCs w:val="26"/>
          <w:lang w:val="en-US"/>
        </w:rPr>
        <w:t>B</w:t>
      </w:r>
      <w:r w:rsidRPr="00772F14">
        <w:rPr>
          <w:i w:val="0"/>
          <w:sz w:val="26"/>
          <w:szCs w:val="26"/>
        </w:rPr>
        <w:t>).</w:t>
      </w:r>
    </w:p>
    <w:p w:rsidR="009B295F" w:rsidRPr="00772F14" w:rsidRDefault="009B295F" w:rsidP="009B295F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772F14">
        <w:rPr>
          <w:bCs/>
          <w:sz w:val="26"/>
          <w:szCs w:val="26"/>
        </w:rPr>
        <w:t>В 201</w:t>
      </w:r>
      <w:r w:rsidR="009303B5" w:rsidRPr="00772F14">
        <w:rPr>
          <w:bCs/>
          <w:sz w:val="26"/>
          <w:szCs w:val="26"/>
        </w:rPr>
        <w:t>7</w:t>
      </w:r>
      <w:r w:rsidRPr="00772F14">
        <w:rPr>
          <w:bCs/>
          <w:sz w:val="26"/>
          <w:szCs w:val="26"/>
        </w:rPr>
        <w:t xml:space="preserve"> году объем отгруженных товаров собственного производства, выполненных работ и услуг собственными силами (далее - объем отгруженных товаров) составил, по оценке, </w:t>
      </w:r>
      <w:r w:rsidR="00772F14" w:rsidRPr="00772F14">
        <w:rPr>
          <w:bCs/>
          <w:sz w:val="26"/>
          <w:szCs w:val="26"/>
        </w:rPr>
        <w:t>27,1</w:t>
      </w:r>
      <w:r w:rsidRPr="00772F14">
        <w:rPr>
          <w:bCs/>
          <w:sz w:val="26"/>
          <w:szCs w:val="26"/>
        </w:rPr>
        <w:t xml:space="preserve"> млрд. рублей, индекс производства – </w:t>
      </w:r>
      <w:r w:rsidR="00772F14" w:rsidRPr="00772F14">
        <w:rPr>
          <w:bCs/>
          <w:sz w:val="26"/>
          <w:szCs w:val="26"/>
        </w:rPr>
        <w:t>110,7</w:t>
      </w:r>
      <w:r w:rsidRPr="00772F14">
        <w:rPr>
          <w:bCs/>
          <w:sz w:val="26"/>
          <w:szCs w:val="26"/>
        </w:rPr>
        <w:t>%.</w:t>
      </w:r>
    </w:p>
    <w:p w:rsidR="009B295F" w:rsidRPr="00772F14" w:rsidRDefault="009B295F" w:rsidP="009B295F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772F14">
        <w:rPr>
          <w:bCs/>
          <w:sz w:val="26"/>
          <w:szCs w:val="26"/>
        </w:rPr>
        <w:t>В 201</w:t>
      </w:r>
      <w:r w:rsidR="009303B5" w:rsidRPr="00772F14">
        <w:rPr>
          <w:bCs/>
          <w:sz w:val="26"/>
          <w:szCs w:val="26"/>
        </w:rPr>
        <w:t>8</w:t>
      </w:r>
      <w:r w:rsidRPr="00772F14">
        <w:rPr>
          <w:bCs/>
          <w:sz w:val="26"/>
          <w:szCs w:val="26"/>
        </w:rPr>
        <w:t xml:space="preserve"> году объемы производства возрастут, по оценке, на </w:t>
      </w:r>
      <w:r w:rsidR="009303B5" w:rsidRPr="00772F14">
        <w:rPr>
          <w:bCs/>
          <w:sz w:val="26"/>
          <w:szCs w:val="26"/>
        </w:rPr>
        <w:t>17,4</w:t>
      </w:r>
      <w:r w:rsidRPr="00772F14">
        <w:rPr>
          <w:bCs/>
          <w:sz w:val="26"/>
          <w:szCs w:val="26"/>
        </w:rPr>
        <w:t xml:space="preserve">%, объем отгруженных товаров составит </w:t>
      </w:r>
      <w:r w:rsidR="00772F14" w:rsidRPr="00772F14">
        <w:rPr>
          <w:bCs/>
          <w:sz w:val="26"/>
          <w:szCs w:val="26"/>
        </w:rPr>
        <w:t>34,5</w:t>
      </w:r>
      <w:r w:rsidRPr="00772F14">
        <w:rPr>
          <w:bCs/>
          <w:sz w:val="26"/>
          <w:szCs w:val="26"/>
        </w:rPr>
        <w:t xml:space="preserve"> млрд. рублей.</w:t>
      </w:r>
    </w:p>
    <w:p w:rsidR="009B295F" w:rsidRPr="00772F14" w:rsidRDefault="009B295F" w:rsidP="009B295F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772F14">
        <w:rPr>
          <w:bCs/>
          <w:sz w:val="26"/>
          <w:szCs w:val="26"/>
        </w:rPr>
        <w:t>Прогноз развития области до 202</w:t>
      </w:r>
      <w:r w:rsidR="009303B5" w:rsidRPr="00772F14">
        <w:rPr>
          <w:bCs/>
          <w:sz w:val="26"/>
          <w:szCs w:val="26"/>
        </w:rPr>
        <w:t>1</w:t>
      </w:r>
      <w:r w:rsidRPr="00772F14">
        <w:rPr>
          <w:bCs/>
          <w:sz w:val="26"/>
          <w:szCs w:val="26"/>
        </w:rPr>
        <w:t xml:space="preserve"> года базируется на перспективных планах развития горнодобывающих предприятий, осуществляющих добычу бокситов, добычу алмазов, гипса, строительных камней, песка и песчано-гравийных смесей.</w:t>
      </w:r>
    </w:p>
    <w:p w:rsidR="009B295F" w:rsidRPr="00772F14" w:rsidRDefault="009B295F" w:rsidP="009B295F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772F14">
        <w:rPr>
          <w:bCs/>
          <w:sz w:val="26"/>
          <w:szCs w:val="26"/>
        </w:rPr>
        <w:t xml:space="preserve">Объем отгруженных товаров в добыче полезных ископаемых по прогнозу </w:t>
      </w:r>
      <w:r w:rsidRPr="00772F14">
        <w:rPr>
          <w:bCs/>
          <w:sz w:val="26"/>
          <w:szCs w:val="26"/>
        </w:rPr>
        <w:br/>
        <w:t>к 202</w:t>
      </w:r>
      <w:r w:rsidR="009303B5" w:rsidRPr="00772F14">
        <w:rPr>
          <w:bCs/>
          <w:sz w:val="26"/>
          <w:szCs w:val="26"/>
        </w:rPr>
        <w:t>1</w:t>
      </w:r>
      <w:r w:rsidRPr="00772F14">
        <w:rPr>
          <w:bCs/>
          <w:sz w:val="26"/>
          <w:szCs w:val="26"/>
        </w:rPr>
        <w:t xml:space="preserve"> году достигнет порядка </w:t>
      </w:r>
      <w:r w:rsidR="009303B5" w:rsidRPr="00772F14">
        <w:rPr>
          <w:bCs/>
          <w:sz w:val="26"/>
          <w:szCs w:val="26"/>
        </w:rPr>
        <w:t>3</w:t>
      </w:r>
      <w:r w:rsidR="00772F14" w:rsidRPr="00772F14">
        <w:rPr>
          <w:bCs/>
          <w:sz w:val="26"/>
          <w:szCs w:val="26"/>
        </w:rPr>
        <w:t>6</w:t>
      </w:r>
      <w:r w:rsidR="009303B5" w:rsidRPr="00772F14">
        <w:rPr>
          <w:bCs/>
          <w:sz w:val="26"/>
          <w:szCs w:val="26"/>
        </w:rPr>
        <w:t xml:space="preserve">,7 </w:t>
      </w:r>
      <w:r w:rsidR="00772F14" w:rsidRPr="00772F14">
        <w:rPr>
          <w:bCs/>
          <w:sz w:val="26"/>
          <w:szCs w:val="26"/>
        </w:rPr>
        <w:t>–</w:t>
      </w:r>
      <w:r w:rsidR="009303B5" w:rsidRPr="00772F14">
        <w:rPr>
          <w:bCs/>
          <w:sz w:val="26"/>
          <w:szCs w:val="26"/>
        </w:rPr>
        <w:t xml:space="preserve"> </w:t>
      </w:r>
      <w:r w:rsidR="00772F14" w:rsidRPr="00772F14">
        <w:rPr>
          <w:bCs/>
          <w:sz w:val="26"/>
          <w:szCs w:val="26"/>
        </w:rPr>
        <w:t>43,4</w:t>
      </w:r>
      <w:r w:rsidRPr="00772F14">
        <w:rPr>
          <w:bCs/>
          <w:sz w:val="26"/>
          <w:szCs w:val="26"/>
        </w:rPr>
        <w:t xml:space="preserve"> млрд. рублей.</w:t>
      </w:r>
    </w:p>
    <w:p w:rsidR="00FD1DE2" w:rsidRPr="00144D66" w:rsidRDefault="00FD1DE2" w:rsidP="001F2CA8">
      <w:pPr>
        <w:pStyle w:val="3"/>
        <w:spacing w:after="0" w:line="288" w:lineRule="auto"/>
        <w:rPr>
          <w:i w:val="0"/>
          <w:sz w:val="26"/>
          <w:szCs w:val="26"/>
        </w:rPr>
      </w:pPr>
      <w:r w:rsidRPr="00144D66">
        <w:rPr>
          <w:i w:val="0"/>
          <w:sz w:val="26"/>
          <w:szCs w:val="26"/>
        </w:rPr>
        <w:t xml:space="preserve">Обрабатывающие производства (раздел - </w:t>
      </w:r>
      <w:r w:rsidR="00282497" w:rsidRPr="00144D66">
        <w:rPr>
          <w:i w:val="0"/>
          <w:sz w:val="26"/>
          <w:szCs w:val="26"/>
          <w:lang w:val="en-US"/>
        </w:rPr>
        <w:t>C</w:t>
      </w:r>
      <w:r w:rsidRPr="00144D66">
        <w:rPr>
          <w:i w:val="0"/>
          <w:sz w:val="26"/>
          <w:szCs w:val="26"/>
        </w:rPr>
        <w:t>).</w:t>
      </w:r>
    </w:p>
    <w:p w:rsidR="00060BD6" w:rsidRPr="00144D66" w:rsidRDefault="00060BD6" w:rsidP="00060BD6">
      <w:pPr>
        <w:pStyle w:val="4"/>
        <w:spacing w:before="0" w:after="0" w:line="288" w:lineRule="auto"/>
        <w:rPr>
          <w:i w:val="0"/>
          <w:sz w:val="26"/>
          <w:szCs w:val="26"/>
        </w:rPr>
      </w:pPr>
      <w:r w:rsidRPr="00144D66">
        <w:rPr>
          <w:i w:val="0"/>
          <w:sz w:val="26"/>
          <w:szCs w:val="26"/>
        </w:rPr>
        <w:t>Производство пищевых продуктов.</w:t>
      </w:r>
    </w:p>
    <w:p w:rsidR="00060BD6" w:rsidRPr="00144D66" w:rsidRDefault="00060BD6" w:rsidP="00060BD6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>В структуре производства наиболее значимыми отраслями являются молокоперерабатывающая, мясоперерабатывающая, производство хлебобулочных изделий, производство водки и ликероводочных изделий, переработка рыбы.</w:t>
      </w:r>
    </w:p>
    <w:p w:rsidR="00060BD6" w:rsidRPr="00144D66" w:rsidRDefault="00060BD6" w:rsidP="00060BD6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 xml:space="preserve">Наиболее крупными предприятиями отрасли являются: </w:t>
      </w:r>
    </w:p>
    <w:p w:rsidR="00060BD6" w:rsidRPr="00144D66" w:rsidRDefault="00060BD6" w:rsidP="00060BD6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 xml:space="preserve">переработка молока – ОАО «Молоко», ОАО «Северодвинск-Молоко», ЗАО «Вельский </w:t>
      </w:r>
      <w:proofErr w:type="spellStart"/>
      <w:r w:rsidRPr="00144D66">
        <w:rPr>
          <w:sz w:val="26"/>
          <w:szCs w:val="26"/>
        </w:rPr>
        <w:t>Анком</w:t>
      </w:r>
      <w:proofErr w:type="spellEnd"/>
      <w:r w:rsidRPr="00144D66">
        <w:rPr>
          <w:sz w:val="26"/>
          <w:szCs w:val="26"/>
        </w:rPr>
        <w:t>», ООО «Маслодельный завод «</w:t>
      </w:r>
      <w:proofErr w:type="spellStart"/>
      <w:r w:rsidRPr="00144D66">
        <w:rPr>
          <w:sz w:val="26"/>
          <w:szCs w:val="26"/>
        </w:rPr>
        <w:t>Красноборский</w:t>
      </w:r>
      <w:proofErr w:type="spellEnd"/>
      <w:r w:rsidRPr="00144D66">
        <w:rPr>
          <w:sz w:val="26"/>
          <w:szCs w:val="26"/>
        </w:rPr>
        <w:t xml:space="preserve">»; </w:t>
      </w:r>
    </w:p>
    <w:p w:rsidR="00060BD6" w:rsidRPr="00144D66" w:rsidRDefault="00060BD6" w:rsidP="00060BD6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 xml:space="preserve">производство мясных полуфабрикатов и колбасных изделий – </w:t>
      </w:r>
      <w:r w:rsidRPr="00144D66">
        <w:rPr>
          <w:sz w:val="26"/>
          <w:szCs w:val="26"/>
        </w:rPr>
        <w:br/>
      </w:r>
      <w:r w:rsidR="009303B5" w:rsidRPr="00144D66">
        <w:rPr>
          <w:sz w:val="26"/>
          <w:szCs w:val="26"/>
        </w:rPr>
        <w:t xml:space="preserve">ООО «Модуль Вельский </w:t>
      </w:r>
      <w:proofErr w:type="spellStart"/>
      <w:r w:rsidR="009303B5" w:rsidRPr="00144D66">
        <w:rPr>
          <w:sz w:val="26"/>
          <w:szCs w:val="26"/>
        </w:rPr>
        <w:t>райпотребсоюз</w:t>
      </w:r>
      <w:proofErr w:type="spellEnd"/>
      <w:r w:rsidR="009303B5" w:rsidRPr="00144D66">
        <w:rPr>
          <w:sz w:val="26"/>
          <w:szCs w:val="26"/>
        </w:rPr>
        <w:t xml:space="preserve">», </w:t>
      </w:r>
      <w:r w:rsidRPr="00144D66">
        <w:rPr>
          <w:sz w:val="26"/>
          <w:szCs w:val="26"/>
        </w:rPr>
        <w:t xml:space="preserve">МПЦ «Стрела» (г. Котлас), </w:t>
      </w:r>
      <w:r w:rsidR="009303B5" w:rsidRPr="00144D66">
        <w:rPr>
          <w:sz w:val="26"/>
          <w:szCs w:val="26"/>
        </w:rPr>
        <w:br/>
      </w:r>
      <w:r w:rsidRPr="00144D66">
        <w:rPr>
          <w:sz w:val="26"/>
          <w:szCs w:val="26"/>
        </w:rPr>
        <w:t>ООО «Мясны</w:t>
      </w:r>
      <w:r w:rsidR="009303B5" w:rsidRPr="00144D66">
        <w:rPr>
          <w:sz w:val="26"/>
          <w:szCs w:val="26"/>
        </w:rPr>
        <w:t xml:space="preserve">е продукты» (г. Северодвинск), </w:t>
      </w:r>
      <w:r w:rsidRPr="00144D66">
        <w:rPr>
          <w:sz w:val="26"/>
          <w:szCs w:val="26"/>
        </w:rPr>
        <w:t xml:space="preserve">ООО «Мясоперерабатывающий цех «Апрель»; </w:t>
      </w:r>
    </w:p>
    <w:p w:rsidR="00060BD6" w:rsidRPr="00144D66" w:rsidRDefault="00060BD6" w:rsidP="00060BD6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>производство хлеба и хлебобулочных изделий – ЗАО работников «Народное предприятие «</w:t>
      </w:r>
      <w:proofErr w:type="spellStart"/>
      <w:r w:rsidRPr="00144D66">
        <w:rPr>
          <w:sz w:val="26"/>
          <w:szCs w:val="26"/>
        </w:rPr>
        <w:t>Архангельскхлеб</w:t>
      </w:r>
      <w:proofErr w:type="spellEnd"/>
      <w:r w:rsidRPr="00144D66">
        <w:rPr>
          <w:sz w:val="26"/>
          <w:szCs w:val="26"/>
        </w:rPr>
        <w:t xml:space="preserve">», ОАО «Северодвинский </w:t>
      </w:r>
      <w:proofErr w:type="spellStart"/>
      <w:r w:rsidRPr="00144D66">
        <w:rPr>
          <w:sz w:val="26"/>
          <w:szCs w:val="26"/>
        </w:rPr>
        <w:t>хлебокомбинат</w:t>
      </w:r>
      <w:proofErr w:type="spellEnd"/>
      <w:r w:rsidRPr="00144D66">
        <w:rPr>
          <w:sz w:val="26"/>
          <w:szCs w:val="26"/>
        </w:rPr>
        <w:t>»</w:t>
      </w:r>
      <w:r w:rsidR="00815779" w:rsidRPr="00144D66">
        <w:rPr>
          <w:sz w:val="26"/>
          <w:szCs w:val="26"/>
        </w:rPr>
        <w:t>.</w:t>
      </w:r>
    </w:p>
    <w:p w:rsidR="00060BD6" w:rsidRPr="00144D66" w:rsidRDefault="00060BD6" w:rsidP="00060BD6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>В 201</w:t>
      </w:r>
      <w:r w:rsidR="00815779" w:rsidRPr="00144D66">
        <w:rPr>
          <w:sz w:val="26"/>
          <w:szCs w:val="26"/>
        </w:rPr>
        <w:t>7</w:t>
      </w:r>
      <w:r w:rsidRPr="00144D66">
        <w:rPr>
          <w:sz w:val="26"/>
          <w:szCs w:val="26"/>
        </w:rPr>
        <w:t xml:space="preserve"> году объем отгруженных товаров по</w:t>
      </w:r>
      <w:r w:rsidR="00815779" w:rsidRPr="00144D66">
        <w:rPr>
          <w:sz w:val="26"/>
          <w:szCs w:val="26"/>
        </w:rPr>
        <w:t xml:space="preserve"> </w:t>
      </w:r>
      <w:r w:rsidRPr="00144D66">
        <w:rPr>
          <w:sz w:val="26"/>
          <w:szCs w:val="26"/>
        </w:rPr>
        <w:t>вид</w:t>
      </w:r>
      <w:r w:rsidR="00815779" w:rsidRPr="00144D66">
        <w:rPr>
          <w:sz w:val="26"/>
          <w:szCs w:val="26"/>
        </w:rPr>
        <w:t>у</w:t>
      </w:r>
      <w:r w:rsidRPr="00144D66">
        <w:rPr>
          <w:sz w:val="26"/>
          <w:szCs w:val="26"/>
        </w:rPr>
        <w:t xml:space="preserve"> экономической деятельности в целом составил </w:t>
      </w:r>
      <w:r w:rsidR="00815779" w:rsidRPr="00144D66">
        <w:rPr>
          <w:sz w:val="26"/>
          <w:szCs w:val="26"/>
        </w:rPr>
        <w:t>9</w:t>
      </w:r>
      <w:r w:rsidRPr="00144D66">
        <w:rPr>
          <w:sz w:val="26"/>
          <w:szCs w:val="26"/>
        </w:rPr>
        <w:t>,</w:t>
      </w:r>
      <w:r w:rsidR="00144D66" w:rsidRPr="00144D66">
        <w:rPr>
          <w:sz w:val="26"/>
          <w:szCs w:val="26"/>
        </w:rPr>
        <w:t>0</w:t>
      </w:r>
      <w:r w:rsidRPr="00144D66">
        <w:rPr>
          <w:sz w:val="26"/>
          <w:szCs w:val="26"/>
        </w:rPr>
        <w:t xml:space="preserve"> млрд. рублей, индекс производства – </w:t>
      </w:r>
      <w:r w:rsidR="00815779" w:rsidRPr="00144D66">
        <w:rPr>
          <w:sz w:val="26"/>
          <w:szCs w:val="26"/>
        </w:rPr>
        <w:t>93,</w:t>
      </w:r>
      <w:r w:rsidR="00144D66" w:rsidRPr="00144D66">
        <w:rPr>
          <w:sz w:val="26"/>
          <w:szCs w:val="26"/>
        </w:rPr>
        <w:t>4</w:t>
      </w:r>
      <w:r w:rsidRPr="00144D66">
        <w:rPr>
          <w:sz w:val="26"/>
          <w:szCs w:val="26"/>
        </w:rPr>
        <w:t>%</w:t>
      </w:r>
      <w:r w:rsidR="00815779" w:rsidRPr="00144D66">
        <w:rPr>
          <w:sz w:val="26"/>
          <w:szCs w:val="26"/>
        </w:rPr>
        <w:t xml:space="preserve">. </w:t>
      </w:r>
    </w:p>
    <w:p w:rsidR="00815779" w:rsidRPr="00144D66" w:rsidRDefault="00815779" w:rsidP="00815779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 xml:space="preserve">Производство хлеба и хлебобулочных изделий незначительно снижается, что связано с сокращением спроса, насыщением рынка, а также сокращением </w:t>
      </w:r>
      <w:r w:rsidRPr="00144D66">
        <w:rPr>
          <w:sz w:val="26"/>
          <w:szCs w:val="26"/>
        </w:rPr>
        <w:lastRenderedPageBreak/>
        <w:t>потребителей. Потребности населения в данной продукции полностью удовлетворяются местными производителями.</w:t>
      </w:r>
    </w:p>
    <w:p w:rsidR="00815779" w:rsidRPr="00144D66" w:rsidRDefault="00815779" w:rsidP="00815779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>Дальнейшее развитие пищевой и перерабатывающей промышленности будет направлено на обеспечение полного потребления всего предложенного объема сельскохозяйственного сырья, производимого в области.</w:t>
      </w:r>
    </w:p>
    <w:p w:rsidR="00815779" w:rsidRPr="00144D66" w:rsidRDefault="00815779" w:rsidP="00815779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>По всем видам пищевых продуктов объемы их производства в прогнозе определены с учетом роста платежеспособного спроса населения, увеличения поставок сырья на перерабатывающие предприятия, наличия производственных мощностей, повышения конкурентоспособности выпускаемой продукции.</w:t>
      </w:r>
    </w:p>
    <w:p w:rsidR="00060BD6" w:rsidRPr="00144D66" w:rsidRDefault="00060BD6" w:rsidP="00060BD6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>В целом в 201</w:t>
      </w:r>
      <w:r w:rsidR="00144D66" w:rsidRPr="00144D66">
        <w:rPr>
          <w:sz w:val="26"/>
          <w:szCs w:val="26"/>
        </w:rPr>
        <w:t>9</w:t>
      </w:r>
      <w:r w:rsidRPr="00144D66">
        <w:rPr>
          <w:sz w:val="26"/>
          <w:szCs w:val="26"/>
        </w:rPr>
        <w:t>-202</w:t>
      </w:r>
      <w:r w:rsidR="00144D66" w:rsidRPr="00144D66">
        <w:rPr>
          <w:sz w:val="26"/>
          <w:szCs w:val="26"/>
        </w:rPr>
        <w:t>1</w:t>
      </w:r>
      <w:r w:rsidRPr="00144D66">
        <w:rPr>
          <w:sz w:val="26"/>
          <w:szCs w:val="26"/>
        </w:rPr>
        <w:t xml:space="preserve"> годах по данному виду экономической деятельности прогнозируется умеренный рост, дальнейшее развитие пищевой</w:t>
      </w:r>
      <w:r w:rsidRPr="00144D66">
        <w:rPr>
          <w:sz w:val="26"/>
          <w:szCs w:val="26"/>
        </w:rPr>
        <w:br/>
        <w:t>и перерабатывающей промышленности будет направлено на обеспечение полного потребления всего предложенного объема сельскохозяйственного сырья, производимого в Архангельской области.</w:t>
      </w:r>
    </w:p>
    <w:p w:rsidR="00815779" w:rsidRPr="00144D66" w:rsidRDefault="00815779" w:rsidP="00815779">
      <w:pPr>
        <w:pStyle w:val="4"/>
        <w:spacing w:before="0" w:after="0" w:line="288" w:lineRule="auto"/>
        <w:rPr>
          <w:i w:val="0"/>
          <w:sz w:val="26"/>
          <w:szCs w:val="26"/>
        </w:rPr>
      </w:pPr>
      <w:r w:rsidRPr="00144D66">
        <w:rPr>
          <w:i w:val="0"/>
          <w:sz w:val="26"/>
          <w:szCs w:val="26"/>
        </w:rPr>
        <w:t>Производство напитков.</w:t>
      </w:r>
    </w:p>
    <w:p w:rsidR="00815779" w:rsidRPr="00144D66" w:rsidRDefault="00815779" w:rsidP="00815779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 xml:space="preserve">Наиболее крупным предприятием отрасли является ОАО «Архангельский </w:t>
      </w:r>
      <w:proofErr w:type="gramStart"/>
      <w:r w:rsidRPr="00144D66">
        <w:rPr>
          <w:sz w:val="26"/>
          <w:szCs w:val="26"/>
        </w:rPr>
        <w:t>ликеро-водочный</w:t>
      </w:r>
      <w:proofErr w:type="gramEnd"/>
      <w:r w:rsidRPr="00144D66">
        <w:rPr>
          <w:sz w:val="26"/>
          <w:szCs w:val="26"/>
        </w:rPr>
        <w:t xml:space="preserve"> завод» (производство алкогольных напитков).</w:t>
      </w:r>
    </w:p>
    <w:p w:rsidR="004511C7" w:rsidRPr="00144D66" w:rsidRDefault="004511C7" w:rsidP="004511C7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 xml:space="preserve">В 2017 году объем отгруженных товаров по виду экономической деятельности в целом составил </w:t>
      </w:r>
      <w:r w:rsidR="00144D66" w:rsidRPr="00144D66">
        <w:rPr>
          <w:sz w:val="26"/>
          <w:szCs w:val="26"/>
        </w:rPr>
        <w:t>2,4</w:t>
      </w:r>
      <w:r w:rsidRPr="00144D66">
        <w:rPr>
          <w:sz w:val="26"/>
          <w:szCs w:val="26"/>
        </w:rPr>
        <w:t xml:space="preserve"> млрд. рублей, индекс производства – </w:t>
      </w:r>
      <w:r w:rsidR="00144D66" w:rsidRPr="00144D66">
        <w:rPr>
          <w:sz w:val="26"/>
          <w:szCs w:val="26"/>
        </w:rPr>
        <w:t>110,8</w:t>
      </w:r>
      <w:r w:rsidRPr="00144D66">
        <w:rPr>
          <w:sz w:val="26"/>
          <w:szCs w:val="26"/>
        </w:rPr>
        <w:t xml:space="preserve">%. </w:t>
      </w:r>
    </w:p>
    <w:p w:rsidR="00815779" w:rsidRPr="00144D66" w:rsidRDefault="00815779" w:rsidP="00815779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 xml:space="preserve">Рост производства </w:t>
      </w:r>
      <w:r w:rsidR="004511C7" w:rsidRPr="00144D66">
        <w:rPr>
          <w:sz w:val="26"/>
          <w:szCs w:val="26"/>
        </w:rPr>
        <w:t xml:space="preserve">в 2016-2018 гг. </w:t>
      </w:r>
      <w:r w:rsidRPr="00144D66">
        <w:rPr>
          <w:sz w:val="26"/>
          <w:szCs w:val="26"/>
        </w:rPr>
        <w:t xml:space="preserve">обусловлен в большей степени успешной работой в сфере производства алкогольных напитков на </w:t>
      </w:r>
      <w:proofErr w:type="spellStart"/>
      <w:r w:rsidRPr="00144D66">
        <w:rPr>
          <w:sz w:val="26"/>
          <w:szCs w:val="26"/>
        </w:rPr>
        <w:t>внешрегиональный</w:t>
      </w:r>
      <w:proofErr w:type="spellEnd"/>
      <w:r w:rsidRPr="00144D66">
        <w:rPr>
          <w:sz w:val="26"/>
          <w:szCs w:val="26"/>
        </w:rPr>
        <w:t xml:space="preserve"> рынок (за пределы Архангельской области).</w:t>
      </w:r>
    </w:p>
    <w:p w:rsidR="003F6A02" w:rsidRPr="00144D66" w:rsidRDefault="003F6A02" w:rsidP="00815779">
      <w:pPr>
        <w:spacing w:line="288" w:lineRule="auto"/>
        <w:ind w:firstLine="709"/>
        <w:jc w:val="both"/>
        <w:rPr>
          <w:sz w:val="26"/>
          <w:szCs w:val="26"/>
        </w:rPr>
      </w:pPr>
      <w:r w:rsidRPr="00144D66">
        <w:rPr>
          <w:sz w:val="26"/>
          <w:szCs w:val="26"/>
        </w:rPr>
        <w:t xml:space="preserve">В прогнозируемом периоде в </w:t>
      </w:r>
      <w:r w:rsidR="00815779" w:rsidRPr="00144D66">
        <w:rPr>
          <w:sz w:val="26"/>
          <w:szCs w:val="26"/>
        </w:rPr>
        <w:t>«консервативный» вариант</w:t>
      </w:r>
      <w:r w:rsidRPr="00144D66">
        <w:rPr>
          <w:sz w:val="26"/>
          <w:szCs w:val="26"/>
        </w:rPr>
        <w:t xml:space="preserve"> заложено производство алкогольной продукции исходя из потребностей только внутреннего рынка Архангельской области, в «базовом» и «целевом» варианте учтено сохранение положительной динамики работы на других региональных рынках.</w:t>
      </w:r>
    </w:p>
    <w:p w:rsidR="00FD1DE2" w:rsidRPr="006D45DE" w:rsidRDefault="00FD1DE2" w:rsidP="008C0FF0">
      <w:pPr>
        <w:pStyle w:val="ConsPlusNormal"/>
        <w:widowControl/>
        <w:spacing w:before="12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45DE">
        <w:rPr>
          <w:rFonts w:ascii="Times New Roman" w:hAnsi="Times New Roman" w:cs="Times New Roman"/>
          <w:b/>
          <w:sz w:val="26"/>
          <w:szCs w:val="26"/>
        </w:rPr>
        <w:t>Лесопромышленный комплекс.</w:t>
      </w:r>
    </w:p>
    <w:p w:rsidR="00060BD6" w:rsidRPr="006D45DE" w:rsidRDefault="00060BD6" w:rsidP="00060BD6">
      <w:pPr>
        <w:pStyle w:val="4"/>
        <w:spacing w:before="0" w:after="0" w:line="288" w:lineRule="auto"/>
        <w:rPr>
          <w:b w:val="0"/>
          <w:i w:val="0"/>
        </w:rPr>
      </w:pPr>
      <w:r w:rsidRPr="006D45DE">
        <w:rPr>
          <w:i w:val="0"/>
          <w:sz w:val="26"/>
          <w:szCs w:val="26"/>
        </w:rPr>
        <w:t>Обработка древесины и производство изделий из дерева.</w:t>
      </w:r>
    </w:p>
    <w:p w:rsidR="00060BD6" w:rsidRPr="00AB20F1" w:rsidRDefault="00060BD6" w:rsidP="00060BD6">
      <w:pPr>
        <w:spacing w:line="288" w:lineRule="auto"/>
        <w:ind w:firstLine="709"/>
        <w:jc w:val="both"/>
        <w:rPr>
          <w:sz w:val="26"/>
          <w:szCs w:val="26"/>
        </w:rPr>
      </w:pPr>
      <w:r w:rsidRPr="006D45DE">
        <w:rPr>
          <w:sz w:val="26"/>
          <w:szCs w:val="26"/>
        </w:rPr>
        <w:t xml:space="preserve">Лесопильно-деревообрабатывающие предприятия Архангельской области ориентированы на выпуск экспортных пиломатериалов. Основной объем (до 70%) производится предприятиями: </w:t>
      </w:r>
      <w:proofErr w:type="gramStart"/>
      <w:r w:rsidRPr="006D45DE">
        <w:rPr>
          <w:sz w:val="26"/>
          <w:szCs w:val="26"/>
        </w:rPr>
        <w:t>ЗАО «Лесозавод 25» (г. Архангельск),</w:t>
      </w:r>
      <w:r w:rsidRPr="006D45DE">
        <w:rPr>
          <w:sz w:val="26"/>
          <w:szCs w:val="26"/>
        </w:rPr>
        <w:br/>
        <w:t>ОАО «Архангельский ЛДК № 3» (г. Архангельск), ООО «Поморская лесопильная компания» (г. Архангельск), ООО «ЛПК «Север» (г. Вельск), ОАО «Онежский ЛДК» (г. Онега), ООО «</w:t>
      </w:r>
      <w:proofErr w:type="spellStart"/>
      <w:r w:rsidRPr="006D45DE">
        <w:rPr>
          <w:sz w:val="26"/>
          <w:szCs w:val="26"/>
        </w:rPr>
        <w:t>Устьянский</w:t>
      </w:r>
      <w:proofErr w:type="spellEnd"/>
      <w:r w:rsidRPr="006D45DE">
        <w:rPr>
          <w:sz w:val="26"/>
          <w:szCs w:val="26"/>
        </w:rPr>
        <w:t xml:space="preserve"> ЛПК» (Архангельская область, </w:t>
      </w:r>
      <w:proofErr w:type="spellStart"/>
      <w:r w:rsidRPr="006D45DE">
        <w:rPr>
          <w:sz w:val="26"/>
          <w:szCs w:val="26"/>
        </w:rPr>
        <w:t>Устьянский</w:t>
      </w:r>
      <w:proofErr w:type="spellEnd"/>
      <w:r w:rsidRPr="006D45DE">
        <w:rPr>
          <w:sz w:val="26"/>
          <w:szCs w:val="26"/>
        </w:rPr>
        <w:t xml:space="preserve"> район).</w:t>
      </w:r>
      <w:proofErr w:type="gramEnd"/>
      <w:r w:rsidRPr="006D45DE">
        <w:rPr>
          <w:sz w:val="26"/>
          <w:szCs w:val="26"/>
        </w:rPr>
        <w:t xml:space="preserve"> ЗАО «Архангельский фанерный завод» (г. </w:t>
      </w:r>
      <w:proofErr w:type="spellStart"/>
      <w:r w:rsidRPr="006D45DE">
        <w:rPr>
          <w:sz w:val="26"/>
          <w:szCs w:val="26"/>
        </w:rPr>
        <w:t>Новодвинск</w:t>
      </w:r>
      <w:proofErr w:type="spellEnd"/>
      <w:r w:rsidRPr="006D45DE">
        <w:rPr>
          <w:sz w:val="26"/>
          <w:szCs w:val="26"/>
        </w:rPr>
        <w:t xml:space="preserve">) производит фанеру </w:t>
      </w:r>
      <w:r w:rsidRPr="00AB20F1">
        <w:rPr>
          <w:sz w:val="26"/>
          <w:szCs w:val="26"/>
        </w:rPr>
        <w:t xml:space="preserve">клееную. </w:t>
      </w:r>
    </w:p>
    <w:p w:rsidR="00060BD6" w:rsidRPr="00AB20F1" w:rsidRDefault="00060BD6" w:rsidP="00060BD6">
      <w:pPr>
        <w:spacing w:line="288" w:lineRule="auto"/>
        <w:ind w:firstLine="709"/>
        <w:jc w:val="both"/>
        <w:rPr>
          <w:sz w:val="26"/>
          <w:szCs w:val="26"/>
        </w:rPr>
      </w:pPr>
      <w:r w:rsidRPr="00AB20F1">
        <w:rPr>
          <w:sz w:val="26"/>
          <w:szCs w:val="26"/>
        </w:rPr>
        <w:t>В 201</w:t>
      </w:r>
      <w:r w:rsidR="00DD2B6B" w:rsidRPr="00AB20F1">
        <w:rPr>
          <w:sz w:val="26"/>
          <w:szCs w:val="26"/>
        </w:rPr>
        <w:t>7</w:t>
      </w:r>
      <w:r w:rsidRPr="00AB20F1">
        <w:rPr>
          <w:sz w:val="26"/>
          <w:szCs w:val="26"/>
        </w:rPr>
        <w:t xml:space="preserve"> году объем отгруженных товаров составил </w:t>
      </w:r>
      <w:r w:rsidR="001B63B1" w:rsidRPr="00AB20F1">
        <w:rPr>
          <w:sz w:val="26"/>
          <w:szCs w:val="26"/>
        </w:rPr>
        <w:t>24,</w:t>
      </w:r>
      <w:r w:rsidR="00AB20F1" w:rsidRPr="00AB20F1">
        <w:rPr>
          <w:sz w:val="26"/>
          <w:szCs w:val="26"/>
        </w:rPr>
        <w:t>7</w:t>
      </w:r>
      <w:r w:rsidRPr="00AB20F1">
        <w:rPr>
          <w:sz w:val="26"/>
          <w:szCs w:val="26"/>
        </w:rPr>
        <w:t xml:space="preserve"> млрд. рублей, индекс производства – </w:t>
      </w:r>
      <w:r w:rsidR="00AB20F1" w:rsidRPr="00AB20F1">
        <w:rPr>
          <w:sz w:val="26"/>
          <w:szCs w:val="26"/>
        </w:rPr>
        <w:t>93</w:t>
      </w:r>
      <w:r w:rsidR="001B63B1" w:rsidRPr="00AB20F1">
        <w:rPr>
          <w:sz w:val="26"/>
          <w:szCs w:val="26"/>
        </w:rPr>
        <w:t>,5</w:t>
      </w:r>
      <w:r w:rsidRPr="00AB20F1">
        <w:rPr>
          <w:sz w:val="26"/>
          <w:szCs w:val="26"/>
        </w:rPr>
        <w:t xml:space="preserve">%. </w:t>
      </w:r>
    </w:p>
    <w:p w:rsidR="001B63B1" w:rsidRPr="00AB20F1" w:rsidRDefault="001B63B1" w:rsidP="001B63B1">
      <w:pPr>
        <w:spacing w:line="288" w:lineRule="auto"/>
        <w:ind w:firstLine="709"/>
        <w:jc w:val="both"/>
        <w:rPr>
          <w:sz w:val="26"/>
          <w:szCs w:val="26"/>
        </w:rPr>
      </w:pPr>
      <w:r w:rsidRPr="00AB20F1">
        <w:rPr>
          <w:sz w:val="26"/>
          <w:szCs w:val="26"/>
        </w:rPr>
        <w:t>В 2018 году ожидается рост объемов производства пиломатериалов, фанеры, гранул топливных к уровню 2017 года.</w:t>
      </w:r>
    </w:p>
    <w:p w:rsidR="001B63B1" w:rsidRPr="00AB20F1" w:rsidRDefault="001B63B1" w:rsidP="001B63B1">
      <w:pPr>
        <w:spacing w:line="288" w:lineRule="auto"/>
        <w:ind w:firstLine="709"/>
        <w:jc w:val="both"/>
        <w:rPr>
          <w:sz w:val="26"/>
          <w:szCs w:val="26"/>
        </w:rPr>
      </w:pPr>
      <w:r w:rsidRPr="00AB20F1">
        <w:rPr>
          <w:sz w:val="26"/>
          <w:szCs w:val="26"/>
        </w:rPr>
        <w:lastRenderedPageBreak/>
        <w:t xml:space="preserve">Увеличат объемы производства пиломатериалов ЗАО «Лесозавод 25», </w:t>
      </w:r>
      <w:r w:rsidR="000D19A7" w:rsidRPr="00AB20F1">
        <w:rPr>
          <w:sz w:val="26"/>
          <w:szCs w:val="26"/>
        </w:rPr>
        <w:br/>
      </w:r>
      <w:r w:rsidRPr="00AB20F1">
        <w:rPr>
          <w:sz w:val="26"/>
          <w:szCs w:val="26"/>
        </w:rPr>
        <w:t>АО «Онежский ЛДК», ООО «ЛПК «Север». В рамках реализации инвестиционного проекта «Организация производства по переработке низкосортной древесины и отходов лесопиления на базе ООО «</w:t>
      </w:r>
      <w:proofErr w:type="spellStart"/>
      <w:r w:rsidRPr="00AB20F1">
        <w:rPr>
          <w:sz w:val="26"/>
          <w:szCs w:val="26"/>
        </w:rPr>
        <w:t>Устьянская</w:t>
      </w:r>
      <w:proofErr w:type="spellEnd"/>
      <w:r w:rsidRPr="00AB20F1">
        <w:rPr>
          <w:sz w:val="26"/>
          <w:szCs w:val="26"/>
        </w:rPr>
        <w:t xml:space="preserve"> лесоперерабатывающая компания» в 2017 году ООО «</w:t>
      </w:r>
      <w:proofErr w:type="spellStart"/>
      <w:r w:rsidRPr="00AB20F1">
        <w:rPr>
          <w:sz w:val="26"/>
          <w:szCs w:val="26"/>
        </w:rPr>
        <w:t>Устьянский</w:t>
      </w:r>
      <w:proofErr w:type="spellEnd"/>
      <w:r w:rsidRPr="00AB20F1">
        <w:rPr>
          <w:sz w:val="26"/>
          <w:szCs w:val="26"/>
        </w:rPr>
        <w:t xml:space="preserve"> ЛПК» запустило в эксплуатацию цех по переработке тонкомерной древесины, что позволит предприятию уже в текущем году в 1,9 раза увеличить объемы производства пиломатериалов к уровню 2017 года.</w:t>
      </w:r>
    </w:p>
    <w:p w:rsidR="001B63B1" w:rsidRPr="00AB20F1" w:rsidRDefault="001B63B1" w:rsidP="001B63B1">
      <w:pPr>
        <w:spacing w:line="288" w:lineRule="auto"/>
        <w:ind w:firstLine="709"/>
        <w:jc w:val="both"/>
        <w:rPr>
          <w:sz w:val="26"/>
          <w:szCs w:val="26"/>
        </w:rPr>
      </w:pPr>
      <w:r w:rsidRPr="00AB20F1">
        <w:rPr>
          <w:sz w:val="26"/>
          <w:szCs w:val="26"/>
        </w:rPr>
        <w:t>Рост производства гранул топливных (</w:t>
      </w:r>
      <w:proofErr w:type="spellStart"/>
      <w:r w:rsidRPr="00AB20F1">
        <w:rPr>
          <w:sz w:val="26"/>
          <w:szCs w:val="26"/>
        </w:rPr>
        <w:t>пеллет</w:t>
      </w:r>
      <w:proofErr w:type="spellEnd"/>
      <w:r w:rsidRPr="00AB20F1">
        <w:rPr>
          <w:sz w:val="26"/>
          <w:szCs w:val="26"/>
        </w:rPr>
        <w:t xml:space="preserve">) ожидается </w:t>
      </w:r>
      <w:r w:rsidRPr="00AB20F1">
        <w:rPr>
          <w:sz w:val="26"/>
          <w:szCs w:val="26"/>
        </w:rPr>
        <w:br/>
        <w:t xml:space="preserve">в ООО «Поморская лесопильная компания» (в рамках инвестиционного проекта «Организация современного лесоперерабатывающего комплекса полного цикла </w:t>
      </w:r>
      <w:r w:rsidR="000D19A7" w:rsidRPr="00AB20F1">
        <w:rPr>
          <w:sz w:val="26"/>
          <w:szCs w:val="26"/>
        </w:rPr>
        <w:br/>
      </w:r>
      <w:r w:rsidRPr="00AB20F1">
        <w:rPr>
          <w:sz w:val="26"/>
          <w:szCs w:val="26"/>
        </w:rPr>
        <w:t>в Архангельской области» предприятие завершило строительство первой очереди завода по производству топливных гранул (</w:t>
      </w:r>
      <w:proofErr w:type="spellStart"/>
      <w:r w:rsidRPr="00AB20F1">
        <w:rPr>
          <w:sz w:val="26"/>
          <w:szCs w:val="26"/>
        </w:rPr>
        <w:t>пеллет</w:t>
      </w:r>
      <w:proofErr w:type="spellEnd"/>
      <w:r w:rsidRPr="00AB20F1">
        <w:rPr>
          <w:sz w:val="26"/>
          <w:szCs w:val="26"/>
        </w:rPr>
        <w:t>), объем производства на 2018 год планируется на уровне 61 тыс. тонн) и ООО «</w:t>
      </w:r>
      <w:proofErr w:type="spellStart"/>
      <w:r w:rsidRPr="00AB20F1">
        <w:rPr>
          <w:sz w:val="26"/>
          <w:szCs w:val="26"/>
        </w:rPr>
        <w:t>Устьянский</w:t>
      </w:r>
      <w:proofErr w:type="spellEnd"/>
      <w:r w:rsidRPr="00AB20F1">
        <w:rPr>
          <w:sz w:val="26"/>
          <w:szCs w:val="26"/>
        </w:rPr>
        <w:t xml:space="preserve"> ЛПК» (в июне 2018 года предприятие завершило строительство завода по производству топливных гранул (</w:t>
      </w:r>
      <w:proofErr w:type="spellStart"/>
      <w:r w:rsidRPr="00AB20F1">
        <w:rPr>
          <w:sz w:val="26"/>
          <w:szCs w:val="26"/>
        </w:rPr>
        <w:t>пеллет</w:t>
      </w:r>
      <w:proofErr w:type="spellEnd"/>
      <w:r w:rsidRPr="00AB20F1">
        <w:rPr>
          <w:sz w:val="26"/>
          <w:szCs w:val="26"/>
        </w:rPr>
        <w:t>), объем производства на 2018 год планируется на уровне 48 тыс. тонн).</w:t>
      </w:r>
    </w:p>
    <w:p w:rsidR="001B63B1" w:rsidRPr="00AB20F1" w:rsidRDefault="001B63B1" w:rsidP="001B63B1">
      <w:pPr>
        <w:spacing w:line="288" w:lineRule="auto"/>
        <w:ind w:firstLine="709"/>
        <w:jc w:val="both"/>
        <w:rPr>
          <w:sz w:val="26"/>
          <w:szCs w:val="26"/>
        </w:rPr>
      </w:pPr>
      <w:r w:rsidRPr="00AB20F1">
        <w:rPr>
          <w:sz w:val="26"/>
          <w:szCs w:val="26"/>
        </w:rPr>
        <w:t xml:space="preserve">ЗАО «Архангельский фанерный завод» планирует увеличить выпуск фанеры на 11% к уровню 2017 года. </w:t>
      </w:r>
    </w:p>
    <w:p w:rsidR="001B63B1" w:rsidRPr="00AB20F1" w:rsidRDefault="000D19A7" w:rsidP="000D19A7">
      <w:pPr>
        <w:spacing w:line="288" w:lineRule="auto"/>
        <w:ind w:firstLine="709"/>
        <w:jc w:val="both"/>
        <w:rPr>
          <w:sz w:val="26"/>
          <w:szCs w:val="26"/>
        </w:rPr>
      </w:pPr>
      <w:r w:rsidRPr="00AB20F1">
        <w:rPr>
          <w:sz w:val="26"/>
          <w:szCs w:val="26"/>
        </w:rPr>
        <w:t xml:space="preserve">В </w:t>
      </w:r>
      <w:r w:rsidR="001B63B1" w:rsidRPr="00AB20F1">
        <w:rPr>
          <w:sz w:val="26"/>
          <w:szCs w:val="26"/>
        </w:rPr>
        <w:t>2019 год</w:t>
      </w:r>
      <w:r w:rsidRPr="00AB20F1">
        <w:rPr>
          <w:sz w:val="26"/>
          <w:szCs w:val="26"/>
        </w:rPr>
        <w:t>у</w:t>
      </w:r>
      <w:r w:rsidR="001B63B1" w:rsidRPr="00AB20F1">
        <w:rPr>
          <w:sz w:val="26"/>
          <w:szCs w:val="26"/>
        </w:rPr>
        <w:t xml:space="preserve"> </w:t>
      </w:r>
      <w:r w:rsidRPr="00AB20F1">
        <w:rPr>
          <w:sz w:val="26"/>
          <w:szCs w:val="26"/>
        </w:rPr>
        <w:t>п</w:t>
      </w:r>
      <w:r w:rsidR="001B63B1" w:rsidRPr="00AB20F1">
        <w:rPr>
          <w:sz w:val="26"/>
          <w:szCs w:val="26"/>
        </w:rPr>
        <w:t>рогнозируется рост производства пиломатериалов, фанеры, гранул топливных (</w:t>
      </w:r>
      <w:proofErr w:type="spellStart"/>
      <w:r w:rsidR="001B63B1" w:rsidRPr="00AB20F1">
        <w:rPr>
          <w:sz w:val="26"/>
          <w:szCs w:val="26"/>
        </w:rPr>
        <w:t>пеллет</w:t>
      </w:r>
      <w:proofErr w:type="spellEnd"/>
      <w:r w:rsidR="001B63B1" w:rsidRPr="00AB20F1">
        <w:rPr>
          <w:sz w:val="26"/>
          <w:szCs w:val="26"/>
        </w:rPr>
        <w:t>) к уровню 2018 года.</w:t>
      </w:r>
    </w:p>
    <w:p w:rsidR="001B63B1" w:rsidRPr="00AB20F1" w:rsidRDefault="001B63B1" w:rsidP="001B63B1">
      <w:pPr>
        <w:spacing w:line="288" w:lineRule="auto"/>
        <w:ind w:firstLine="709"/>
        <w:jc w:val="both"/>
        <w:rPr>
          <w:sz w:val="26"/>
          <w:szCs w:val="26"/>
        </w:rPr>
      </w:pPr>
      <w:r w:rsidRPr="00AB20F1">
        <w:rPr>
          <w:sz w:val="26"/>
          <w:szCs w:val="26"/>
        </w:rPr>
        <w:t xml:space="preserve">Продолжат наращивать объемы производства пиломатериалов </w:t>
      </w:r>
      <w:r w:rsidRPr="00AB20F1">
        <w:rPr>
          <w:sz w:val="26"/>
          <w:szCs w:val="26"/>
        </w:rPr>
        <w:br/>
        <w:t>ЗАО «Лесозавод 25», ООО «ЛПК «Север», ООО «</w:t>
      </w:r>
      <w:proofErr w:type="spellStart"/>
      <w:r w:rsidRPr="00AB20F1">
        <w:rPr>
          <w:sz w:val="26"/>
          <w:szCs w:val="26"/>
        </w:rPr>
        <w:t>Устьянский</w:t>
      </w:r>
      <w:proofErr w:type="spellEnd"/>
      <w:r w:rsidRPr="00AB20F1">
        <w:rPr>
          <w:sz w:val="26"/>
          <w:szCs w:val="26"/>
        </w:rPr>
        <w:t xml:space="preserve"> ЛПК». </w:t>
      </w:r>
      <w:r w:rsidRPr="00AB20F1">
        <w:rPr>
          <w:sz w:val="26"/>
          <w:szCs w:val="26"/>
        </w:rPr>
        <w:br/>
        <w:t xml:space="preserve">ЗАО «Архангельский фанерный завод» сохранит объемы производства фанеры </w:t>
      </w:r>
      <w:r w:rsidR="000D19A7" w:rsidRPr="00AB20F1">
        <w:rPr>
          <w:sz w:val="26"/>
          <w:szCs w:val="26"/>
        </w:rPr>
        <w:br/>
      </w:r>
      <w:r w:rsidRPr="00AB20F1">
        <w:rPr>
          <w:sz w:val="26"/>
          <w:szCs w:val="26"/>
        </w:rPr>
        <w:t xml:space="preserve">на уровне 2018 года. ООО </w:t>
      </w:r>
      <w:proofErr w:type="spellStart"/>
      <w:r w:rsidRPr="00AB20F1">
        <w:rPr>
          <w:sz w:val="26"/>
          <w:szCs w:val="26"/>
        </w:rPr>
        <w:t>Устьянский</w:t>
      </w:r>
      <w:proofErr w:type="spellEnd"/>
      <w:r w:rsidRPr="00AB20F1">
        <w:rPr>
          <w:sz w:val="26"/>
          <w:szCs w:val="26"/>
        </w:rPr>
        <w:t xml:space="preserve"> ЛПК» планирует увеличить производство гранул топливных (</w:t>
      </w:r>
      <w:proofErr w:type="spellStart"/>
      <w:r w:rsidRPr="00AB20F1">
        <w:rPr>
          <w:sz w:val="26"/>
          <w:szCs w:val="26"/>
        </w:rPr>
        <w:t>пеллет</w:t>
      </w:r>
      <w:proofErr w:type="spellEnd"/>
      <w:r w:rsidRPr="00AB20F1">
        <w:rPr>
          <w:sz w:val="26"/>
          <w:szCs w:val="26"/>
        </w:rPr>
        <w:t xml:space="preserve">) до 137 тыс. тонн (увеличение в 2,8 раза к уровню </w:t>
      </w:r>
      <w:r w:rsidR="000D19A7" w:rsidRPr="00AB20F1">
        <w:rPr>
          <w:sz w:val="26"/>
          <w:szCs w:val="26"/>
        </w:rPr>
        <w:br/>
      </w:r>
      <w:r w:rsidRPr="00AB20F1">
        <w:rPr>
          <w:sz w:val="26"/>
          <w:szCs w:val="26"/>
        </w:rPr>
        <w:t xml:space="preserve">2018 года). </w:t>
      </w:r>
    </w:p>
    <w:p w:rsidR="001B63B1" w:rsidRPr="007166AF" w:rsidRDefault="000D19A7" w:rsidP="000D19A7">
      <w:pPr>
        <w:spacing w:line="288" w:lineRule="auto"/>
        <w:ind w:firstLine="709"/>
        <w:jc w:val="both"/>
        <w:rPr>
          <w:sz w:val="26"/>
          <w:szCs w:val="26"/>
        </w:rPr>
      </w:pPr>
      <w:r w:rsidRPr="00AB20F1">
        <w:rPr>
          <w:sz w:val="26"/>
          <w:szCs w:val="26"/>
        </w:rPr>
        <w:t xml:space="preserve">В </w:t>
      </w:r>
      <w:r w:rsidR="001B63B1" w:rsidRPr="00AB20F1">
        <w:rPr>
          <w:sz w:val="26"/>
          <w:szCs w:val="26"/>
        </w:rPr>
        <w:t>2020 – 2021 гг.</w:t>
      </w:r>
      <w:r w:rsidRPr="00AB20F1">
        <w:rPr>
          <w:sz w:val="26"/>
          <w:szCs w:val="26"/>
        </w:rPr>
        <w:t xml:space="preserve"> д</w:t>
      </w:r>
      <w:r w:rsidR="001B63B1" w:rsidRPr="00AB20F1">
        <w:rPr>
          <w:sz w:val="26"/>
          <w:szCs w:val="26"/>
        </w:rPr>
        <w:t xml:space="preserve">инамика производства основных видов продукции </w:t>
      </w:r>
      <w:r w:rsidR="001B63B1" w:rsidRPr="007166AF">
        <w:rPr>
          <w:sz w:val="26"/>
          <w:szCs w:val="26"/>
        </w:rPr>
        <w:t>деревообработки</w:t>
      </w:r>
      <w:r w:rsidRPr="007166AF">
        <w:rPr>
          <w:sz w:val="26"/>
          <w:szCs w:val="26"/>
        </w:rPr>
        <w:t xml:space="preserve"> будет</w:t>
      </w:r>
      <w:r w:rsidR="001B63B1" w:rsidRPr="007166AF">
        <w:rPr>
          <w:sz w:val="26"/>
          <w:szCs w:val="26"/>
        </w:rPr>
        <w:t xml:space="preserve"> положительная. </w:t>
      </w:r>
    </w:p>
    <w:p w:rsidR="00060BD6" w:rsidRPr="007166AF" w:rsidRDefault="00060BD6" w:rsidP="00060BD6">
      <w:pPr>
        <w:pStyle w:val="4"/>
        <w:spacing w:before="0" w:after="0" w:line="288" w:lineRule="auto"/>
        <w:rPr>
          <w:i w:val="0"/>
          <w:sz w:val="26"/>
          <w:szCs w:val="26"/>
        </w:rPr>
      </w:pPr>
      <w:r w:rsidRPr="007166AF">
        <w:rPr>
          <w:i w:val="0"/>
          <w:sz w:val="26"/>
          <w:szCs w:val="26"/>
        </w:rPr>
        <w:t>Целлюлозно-бумажное производство.</w:t>
      </w:r>
    </w:p>
    <w:p w:rsidR="00060BD6" w:rsidRPr="007166AF" w:rsidRDefault="00060BD6" w:rsidP="00060BD6">
      <w:pPr>
        <w:spacing w:line="288" w:lineRule="auto"/>
        <w:ind w:firstLine="709"/>
        <w:jc w:val="both"/>
        <w:rPr>
          <w:sz w:val="26"/>
          <w:szCs w:val="26"/>
        </w:rPr>
      </w:pPr>
      <w:r w:rsidRPr="007166AF">
        <w:rPr>
          <w:sz w:val="26"/>
          <w:szCs w:val="26"/>
        </w:rPr>
        <w:t>В 201</w:t>
      </w:r>
      <w:r w:rsidR="002441CE" w:rsidRPr="007166AF">
        <w:rPr>
          <w:sz w:val="26"/>
          <w:szCs w:val="26"/>
        </w:rPr>
        <w:t>7</w:t>
      </w:r>
      <w:r w:rsidRPr="007166AF">
        <w:rPr>
          <w:sz w:val="26"/>
          <w:szCs w:val="26"/>
        </w:rPr>
        <w:t xml:space="preserve"> году объем отгруженных товаров составил </w:t>
      </w:r>
      <w:r w:rsidR="002441CE" w:rsidRPr="007166AF">
        <w:rPr>
          <w:sz w:val="26"/>
          <w:szCs w:val="26"/>
        </w:rPr>
        <w:t>71,</w:t>
      </w:r>
      <w:r w:rsidR="007166AF" w:rsidRPr="007166AF">
        <w:rPr>
          <w:sz w:val="26"/>
          <w:szCs w:val="26"/>
        </w:rPr>
        <w:t xml:space="preserve">8 </w:t>
      </w:r>
      <w:r w:rsidRPr="007166AF">
        <w:rPr>
          <w:sz w:val="26"/>
          <w:szCs w:val="26"/>
        </w:rPr>
        <w:t xml:space="preserve">млрд. рублей, индекс производства – </w:t>
      </w:r>
      <w:r w:rsidR="007166AF" w:rsidRPr="007166AF">
        <w:rPr>
          <w:sz w:val="26"/>
          <w:szCs w:val="26"/>
        </w:rPr>
        <w:t>100,4</w:t>
      </w:r>
      <w:r w:rsidRPr="007166AF">
        <w:rPr>
          <w:sz w:val="26"/>
          <w:szCs w:val="26"/>
        </w:rPr>
        <w:t xml:space="preserve">%. Основной объем продукции целлюлозно-бумажного производства области сосредоточен на двух целлюлозно-бумажных комбинатах: </w:t>
      </w:r>
      <w:r w:rsidR="002441CE" w:rsidRPr="007166AF">
        <w:rPr>
          <w:sz w:val="26"/>
          <w:szCs w:val="26"/>
        </w:rPr>
        <w:br/>
      </w:r>
      <w:r w:rsidRPr="007166AF">
        <w:rPr>
          <w:sz w:val="26"/>
          <w:szCs w:val="26"/>
        </w:rPr>
        <w:t>АО «Архангельский ЦБК» (г. </w:t>
      </w:r>
      <w:proofErr w:type="spellStart"/>
      <w:r w:rsidRPr="007166AF">
        <w:rPr>
          <w:sz w:val="26"/>
          <w:szCs w:val="26"/>
        </w:rPr>
        <w:t>Новодвинск</w:t>
      </w:r>
      <w:proofErr w:type="spellEnd"/>
      <w:r w:rsidRPr="007166AF">
        <w:rPr>
          <w:sz w:val="26"/>
          <w:szCs w:val="26"/>
        </w:rPr>
        <w:t xml:space="preserve">), филиал АО «Группа Илим» </w:t>
      </w:r>
      <w:r w:rsidRPr="007166AF">
        <w:rPr>
          <w:sz w:val="26"/>
          <w:szCs w:val="26"/>
        </w:rPr>
        <w:br/>
        <w:t xml:space="preserve">в г. Коряжме. Предприятия производят целлюлозу древесную и целлюлозу </w:t>
      </w:r>
      <w:r w:rsidRPr="007166AF">
        <w:rPr>
          <w:sz w:val="26"/>
          <w:szCs w:val="26"/>
        </w:rPr>
        <w:br/>
        <w:t xml:space="preserve">из прочих волокнистых материалов, бумагу, картон. </w:t>
      </w:r>
    </w:p>
    <w:p w:rsidR="002441CE" w:rsidRPr="007166AF" w:rsidRDefault="002441CE" w:rsidP="002441CE">
      <w:pPr>
        <w:spacing w:line="288" w:lineRule="auto"/>
        <w:ind w:firstLine="709"/>
        <w:jc w:val="both"/>
        <w:rPr>
          <w:sz w:val="26"/>
          <w:szCs w:val="26"/>
        </w:rPr>
      </w:pPr>
      <w:r w:rsidRPr="007166AF">
        <w:rPr>
          <w:sz w:val="26"/>
          <w:szCs w:val="26"/>
        </w:rPr>
        <w:t>В 2018 году ожидается рост объемов производства целлюлозы по варке, бумаги и картона к уровню 2017 года.</w:t>
      </w:r>
    </w:p>
    <w:p w:rsidR="002441CE" w:rsidRPr="007166AF" w:rsidRDefault="002441CE" w:rsidP="002441CE">
      <w:pPr>
        <w:spacing w:line="288" w:lineRule="auto"/>
        <w:ind w:firstLine="709"/>
        <w:jc w:val="both"/>
        <w:rPr>
          <w:sz w:val="26"/>
          <w:szCs w:val="26"/>
        </w:rPr>
      </w:pPr>
      <w:r w:rsidRPr="007166AF">
        <w:rPr>
          <w:sz w:val="26"/>
          <w:szCs w:val="26"/>
        </w:rPr>
        <w:t>Увеличение объемов производства продукции в АО «Архангельский ЦБК» прогнозируется в пределах 1%, в филиале АО «Группа «Илим» темпы роста составят по бумаге 4,4%, по картону – 3,3%.</w:t>
      </w:r>
    </w:p>
    <w:p w:rsidR="002441CE" w:rsidRPr="007166AF" w:rsidRDefault="00727004" w:rsidP="00727004">
      <w:pPr>
        <w:spacing w:line="288" w:lineRule="auto"/>
        <w:ind w:firstLine="709"/>
        <w:jc w:val="both"/>
        <w:rPr>
          <w:sz w:val="26"/>
          <w:szCs w:val="26"/>
        </w:rPr>
      </w:pPr>
      <w:r w:rsidRPr="007166AF">
        <w:rPr>
          <w:sz w:val="26"/>
          <w:szCs w:val="26"/>
        </w:rPr>
        <w:lastRenderedPageBreak/>
        <w:t xml:space="preserve">В </w:t>
      </w:r>
      <w:r w:rsidR="002441CE" w:rsidRPr="007166AF">
        <w:rPr>
          <w:sz w:val="26"/>
          <w:szCs w:val="26"/>
        </w:rPr>
        <w:t>2019 год</w:t>
      </w:r>
      <w:r w:rsidRPr="007166AF">
        <w:rPr>
          <w:sz w:val="26"/>
          <w:szCs w:val="26"/>
        </w:rPr>
        <w:t xml:space="preserve">у в </w:t>
      </w:r>
      <w:r w:rsidR="002441CE" w:rsidRPr="007166AF">
        <w:rPr>
          <w:sz w:val="26"/>
          <w:szCs w:val="26"/>
        </w:rPr>
        <w:t xml:space="preserve">целом объемы производства продукции сохранятся на уровне </w:t>
      </w:r>
      <w:r w:rsidR="002441CE" w:rsidRPr="007166AF">
        <w:rPr>
          <w:sz w:val="26"/>
          <w:szCs w:val="26"/>
        </w:rPr>
        <w:br/>
        <w:t>2018 года.</w:t>
      </w:r>
      <w:r w:rsidRPr="007166AF">
        <w:rPr>
          <w:sz w:val="26"/>
          <w:szCs w:val="26"/>
        </w:rPr>
        <w:t xml:space="preserve"> </w:t>
      </w:r>
      <w:r w:rsidR="002441CE" w:rsidRPr="007166AF">
        <w:rPr>
          <w:sz w:val="26"/>
          <w:szCs w:val="26"/>
        </w:rPr>
        <w:t>АО «Архангельский ЦБК» несколько снизит объемы производства целлюлозы по варке и целлюлозы товарной, АО «Группа Илим» в г. Коряжме в свою очередь увеличит выпуск целлюлозы по варке и целлюлозы товарной. Предприятия сохранят выпуск бумаги и картона на уровне 2018 года.</w:t>
      </w:r>
    </w:p>
    <w:p w:rsidR="002441CE" w:rsidRPr="007166AF" w:rsidRDefault="00727004" w:rsidP="00727004">
      <w:pPr>
        <w:spacing w:line="288" w:lineRule="auto"/>
        <w:ind w:firstLine="709"/>
        <w:jc w:val="both"/>
        <w:rPr>
          <w:sz w:val="26"/>
          <w:szCs w:val="26"/>
        </w:rPr>
      </w:pPr>
      <w:r w:rsidRPr="007166AF">
        <w:rPr>
          <w:sz w:val="26"/>
          <w:szCs w:val="26"/>
        </w:rPr>
        <w:t xml:space="preserve">В </w:t>
      </w:r>
      <w:r w:rsidR="002441CE" w:rsidRPr="007166AF">
        <w:rPr>
          <w:sz w:val="26"/>
          <w:szCs w:val="26"/>
        </w:rPr>
        <w:t>2020 –</w:t>
      </w:r>
      <w:r w:rsidRPr="007166AF">
        <w:rPr>
          <w:sz w:val="26"/>
          <w:szCs w:val="26"/>
        </w:rPr>
        <w:t xml:space="preserve"> </w:t>
      </w:r>
      <w:r w:rsidR="002441CE" w:rsidRPr="007166AF">
        <w:rPr>
          <w:sz w:val="26"/>
          <w:szCs w:val="26"/>
        </w:rPr>
        <w:t>2021 гг.</w:t>
      </w:r>
      <w:r w:rsidRPr="007166AF">
        <w:rPr>
          <w:sz w:val="26"/>
          <w:szCs w:val="26"/>
        </w:rPr>
        <w:t xml:space="preserve"> д</w:t>
      </w:r>
      <w:r w:rsidR="002441CE" w:rsidRPr="007166AF">
        <w:rPr>
          <w:sz w:val="26"/>
          <w:szCs w:val="26"/>
        </w:rPr>
        <w:t xml:space="preserve">инамика производства основных видов продукции </w:t>
      </w:r>
      <w:r w:rsidRPr="007166AF">
        <w:rPr>
          <w:sz w:val="26"/>
          <w:szCs w:val="26"/>
        </w:rPr>
        <w:t xml:space="preserve">целлюлозно-бумажного производства </w:t>
      </w:r>
      <w:r w:rsidR="002441CE" w:rsidRPr="007166AF">
        <w:rPr>
          <w:sz w:val="26"/>
          <w:szCs w:val="26"/>
        </w:rPr>
        <w:t>положительная. Производство картона достигнет в 2020 году 1,1 млн. тонн (рост на 11% к 2019 году), в 2021 го</w:t>
      </w:r>
      <w:r w:rsidRPr="007166AF">
        <w:rPr>
          <w:sz w:val="26"/>
          <w:szCs w:val="26"/>
        </w:rPr>
        <w:t xml:space="preserve">ду – 1,2 млн. тонн (рост на 9% </w:t>
      </w:r>
      <w:r w:rsidR="002441CE" w:rsidRPr="007166AF">
        <w:rPr>
          <w:sz w:val="26"/>
          <w:szCs w:val="26"/>
        </w:rPr>
        <w:t>к 2020 году).</w:t>
      </w:r>
    </w:p>
    <w:p w:rsidR="002441CE" w:rsidRPr="007166AF" w:rsidRDefault="002441CE" w:rsidP="00727004">
      <w:pPr>
        <w:spacing w:line="288" w:lineRule="auto"/>
        <w:ind w:firstLine="709"/>
        <w:jc w:val="both"/>
        <w:rPr>
          <w:sz w:val="26"/>
          <w:szCs w:val="26"/>
        </w:rPr>
      </w:pPr>
      <w:r w:rsidRPr="007166AF">
        <w:rPr>
          <w:sz w:val="26"/>
          <w:szCs w:val="26"/>
        </w:rPr>
        <w:t>АО «Архангельский ЦБК» в 2020 году на 13% увеличит объемы производства целлюлозы по варке и на 21% выпуск картона к уровню 2019 года, снизив при этом выпуск бумаги на 5%. В 2021 году темп роста по картону составит 116,1% к уровню 2020 года.</w:t>
      </w:r>
      <w:r w:rsidR="00727004" w:rsidRPr="007166AF">
        <w:rPr>
          <w:sz w:val="26"/>
          <w:szCs w:val="26"/>
        </w:rPr>
        <w:t xml:space="preserve"> </w:t>
      </w:r>
      <w:r w:rsidRPr="007166AF">
        <w:rPr>
          <w:sz w:val="26"/>
          <w:szCs w:val="26"/>
        </w:rPr>
        <w:t xml:space="preserve">Филиал ОАО «Группа Илим» в г. Коряжме в 2019 и 2020 годах сохранит производство бумаги и картона на уровне 2019 года. </w:t>
      </w:r>
    </w:p>
    <w:p w:rsidR="002441CE" w:rsidRPr="00CB70E3" w:rsidRDefault="00CB70E3" w:rsidP="00CB70E3">
      <w:pPr>
        <w:pStyle w:val="4"/>
        <w:spacing w:after="0" w:line="288" w:lineRule="auto"/>
        <w:jc w:val="both"/>
        <w:rPr>
          <w:i w:val="0"/>
          <w:sz w:val="26"/>
          <w:szCs w:val="26"/>
        </w:rPr>
      </w:pPr>
      <w:r w:rsidRPr="00CB70E3">
        <w:rPr>
          <w:i w:val="0"/>
          <w:sz w:val="26"/>
          <w:szCs w:val="26"/>
        </w:rPr>
        <w:t>Химическое производство.</w:t>
      </w:r>
    </w:p>
    <w:p w:rsidR="00CB70E3" w:rsidRPr="00144D66" w:rsidRDefault="00CB70E3" w:rsidP="00CB70E3">
      <w:pPr>
        <w:spacing w:line="288" w:lineRule="auto"/>
        <w:ind w:firstLine="709"/>
        <w:jc w:val="both"/>
        <w:rPr>
          <w:sz w:val="26"/>
          <w:szCs w:val="26"/>
        </w:rPr>
      </w:pPr>
      <w:r w:rsidRPr="00CB70E3">
        <w:rPr>
          <w:sz w:val="26"/>
          <w:szCs w:val="26"/>
        </w:rPr>
        <w:t>В 2017 году объем отгруженных товаров по виду экономической деятельности в целом составил 4,0 млрд. рублей, индекс производства – 99,6%.</w:t>
      </w:r>
      <w:r w:rsidRPr="00144D66">
        <w:rPr>
          <w:sz w:val="26"/>
          <w:szCs w:val="26"/>
        </w:rPr>
        <w:t xml:space="preserve"> </w:t>
      </w:r>
    </w:p>
    <w:p w:rsidR="005A7970" w:rsidRPr="005A7970" w:rsidRDefault="005A7970" w:rsidP="005A7970">
      <w:pPr>
        <w:spacing w:line="288" w:lineRule="auto"/>
        <w:ind w:firstLine="709"/>
        <w:jc w:val="both"/>
        <w:rPr>
          <w:sz w:val="26"/>
          <w:szCs w:val="26"/>
        </w:rPr>
      </w:pPr>
      <w:r w:rsidRPr="005A7970">
        <w:rPr>
          <w:sz w:val="26"/>
          <w:szCs w:val="26"/>
        </w:rPr>
        <w:t>Самым крупным предприятием отрасли является ОАО «</w:t>
      </w:r>
      <w:proofErr w:type="spellStart"/>
      <w:r w:rsidRPr="005A7970">
        <w:rPr>
          <w:sz w:val="26"/>
          <w:szCs w:val="26"/>
        </w:rPr>
        <w:t>Котласский</w:t>
      </w:r>
      <w:proofErr w:type="spellEnd"/>
      <w:r w:rsidRPr="005A7970">
        <w:rPr>
          <w:sz w:val="26"/>
          <w:szCs w:val="26"/>
        </w:rPr>
        <w:t xml:space="preserve"> химический завод». Завод в 2017 году начал реализацию инвестиционного проекта по импортозамещающим антикоррозийным лакокрасочным материалам, наносимым в неблагоприятных условиях. Основной целью проекта является увеличение доли отечественной продукции на рынке антикоррозийных лакокрасочных материалов и покрытий для судостроительной отрасли. Проект будет реализовываться до 2025 года. Объем инвестиций проекта составляет</w:t>
      </w:r>
      <w:r w:rsidRPr="005A7970">
        <w:rPr>
          <w:sz w:val="26"/>
          <w:szCs w:val="26"/>
        </w:rPr>
        <w:br/>
        <w:t>89,9 млн. рублей.</w:t>
      </w:r>
    </w:p>
    <w:p w:rsidR="005A7970" w:rsidRDefault="005A7970" w:rsidP="005A7970">
      <w:pPr>
        <w:spacing w:line="288" w:lineRule="auto"/>
        <w:ind w:firstLine="709"/>
        <w:jc w:val="both"/>
        <w:rPr>
          <w:sz w:val="26"/>
          <w:szCs w:val="26"/>
        </w:rPr>
      </w:pPr>
      <w:r w:rsidRPr="005A7970">
        <w:rPr>
          <w:sz w:val="26"/>
          <w:szCs w:val="26"/>
        </w:rPr>
        <w:t xml:space="preserve">Также по данному виду экономической деятельности на территории Архангельской области ведут свою деятельность следующие предприятия: </w:t>
      </w:r>
      <w:r w:rsidRPr="005A7970">
        <w:rPr>
          <w:sz w:val="26"/>
          <w:szCs w:val="26"/>
        </w:rPr>
        <w:br/>
      </w:r>
      <w:r w:rsidR="00934C9B" w:rsidRPr="005A7970">
        <w:rPr>
          <w:sz w:val="26"/>
          <w:szCs w:val="26"/>
        </w:rPr>
        <w:t>ООО «</w:t>
      </w:r>
      <w:proofErr w:type="spellStart"/>
      <w:r w:rsidR="00934C9B" w:rsidRPr="005A7970">
        <w:rPr>
          <w:sz w:val="26"/>
          <w:szCs w:val="26"/>
        </w:rPr>
        <w:t>Техносервис</w:t>
      </w:r>
      <w:proofErr w:type="spellEnd"/>
      <w:r w:rsidR="00934C9B" w:rsidRPr="005A7970">
        <w:rPr>
          <w:sz w:val="26"/>
          <w:szCs w:val="26"/>
        </w:rPr>
        <w:t>»</w:t>
      </w:r>
      <w:r w:rsidR="00934C9B">
        <w:rPr>
          <w:sz w:val="26"/>
          <w:szCs w:val="26"/>
        </w:rPr>
        <w:t>,</w:t>
      </w:r>
      <w:r w:rsidR="00934C9B" w:rsidRPr="005A7970">
        <w:rPr>
          <w:sz w:val="26"/>
          <w:szCs w:val="26"/>
        </w:rPr>
        <w:t xml:space="preserve"> </w:t>
      </w:r>
      <w:r w:rsidRPr="005A7970">
        <w:rPr>
          <w:sz w:val="26"/>
          <w:szCs w:val="26"/>
        </w:rPr>
        <w:t>ООО «Беломорские краски», ООО «НПО</w:t>
      </w:r>
      <w:r w:rsidR="00934C9B">
        <w:rPr>
          <w:sz w:val="26"/>
          <w:szCs w:val="26"/>
        </w:rPr>
        <w:t xml:space="preserve"> «Завод химических реагентов», </w:t>
      </w:r>
      <w:r w:rsidRPr="005A7970">
        <w:rPr>
          <w:sz w:val="26"/>
          <w:szCs w:val="26"/>
        </w:rPr>
        <w:t>ООО «Клото» и др.</w:t>
      </w:r>
      <w:r w:rsidRPr="007013CA">
        <w:rPr>
          <w:sz w:val="26"/>
          <w:szCs w:val="26"/>
        </w:rPr>
        <w:t xml:space="preserve"> </w:t>
      </w:r>
    </w:p>
    <w:p w:rsidR="004E584B" w:rsidRPr="00CB70E3" w:rsidRDefault="004E584B" w:rsidP="004E584B">
      <w:pPr>
        <w:pStyle w:val="4"/>
        <w:spacing w:after="0" w:line="288" w:lineRule="auto"/>
        <w:jc w:val="both"/>
        <w:rPr>
          <w:i w:val="0"/>
          <w:sz w:val="26"/>
          <w:szCs w:val="26"/>
        </w:rPr>
      </w:pPr>
      <w:r w:rsidRPr="00CB70E3">
        <w:rPr>
          <w:i w:val="0"/>
          <w:sz w:val="26"/>
          <w:szCs w:val="26"/>
        </w:rPr>
        <w:t>Промышленность строительных материалов.</w:t>
      </w:r>
    </w:p>
    <w:p w:rsidR="005F0200" w:rsidRPr="00CB70E3" w:rsidRDefault="004E584B" w:rsidP="005F0200">
      <w:pPr>
        <w:spacing w:line="288" w:lineRule="auto"/>
        <w:ind w:firstLine="709"/>
        <w:jc w:val="both"/>
        <w:rPr>
          <w:sz w:val="26"/>
          <w:szCs w:val="26"/>
        </w:rPr>
      </w:pPr>
      <w:r w:rsidRPr="00CB70E3">
        <w:rPr>
          <w:sz w:val="26"/>
          <w:szCs w:val="26"/>
        </w:rPr>
        <w:t>В 201</w:t>
      </w:r>
      <w:r w:rsidR="00083D67" w:rsidRPr="00CB70E3">
        <w:rPr>
          <w:sz w:val="26"/>
          <w:szCs w:val="26"/>
        </w:rPr>
        <w:t>7</w:t>
      </w:r>
      <w:r w:rsidRPr="00CB70E3">
        <w:rPr>
          <w:sz w:val="26"/>
          <w:szCs w:val="26"/>
        </w:rPr>
        <w:t xml:space="preserve"> году объем отгруженных товаров составил 1,</w:t>
      </w:r>
      <w:r w:rsidR="00CB70E3" w:rsidRPr="00CB70E3">
        <w:rPr>
          <w:sz w:val="26"/>
          <w:szCs w:val="26"/>
        </w:rPr>
        <w:t>8</w:t>
      </w:r>
      <w:r w:rsidRPr="00CB70E3">
        <w:rPr>
          <w:sz w:val="26"/>
          <w:szCs w:val="26"/>
        </w:rPr>
        <w:t xml:space="preserve"> млрд. рублей, индекс производства – </w:t>
      </w:r>
      <w:r w:rsidR="00CB70E3" w:rsidRPr="00CB70E3">
        <w:rPr>
          <w:sz w:val="26"/>
          <w:szCs w:val="26"/>
        </w:rPr>
        <w:t>82,3</w:t>
      </w:r>
      <w:r w:rsidRPr="00CB70E3">
        <w:rPr>
          <w:sz w:val="26"/>
          <w:szCs w:val="26"/>
        </w:rPr>
        <w:t xml:space="preserve">%. </w:t>
      </w:r>
      <w:r w:rsidR="005F0200" w:rsidRPr="00CB70E3">
        <w:rPr>
          <w:sz w:val="26"/>
          <w:szCs w:val="26"/>
        </w:rPr>
        <w:t>Снижение индекса производства вызвано падением производства плит из цемента, бетона или искусственного камня на 12%, блоков и прочих изделий сборных строительных для зданий и сооружений из цемента, бетона или искусственного камня на 19,7%, кирпича строительного на 16,3 %, а также бетона готового для заливки на 28,1 %.</w:t>
      </w:r>
    </w:p>
    <w:p w:rsidR="005F0200" w:rsidRPr="00CB70E3" w:rsidRDefault="005F0200" w:rsidP="005F0200">
      <w:pPr>
        <w:spacing w:line="288" w:lineRule="auto"/>
        <w:ind w:firstLine="709"/>
        <w:jc w:val="both"/>
        <w:rPr>
          <w:sz w:val="26"/>
          <w:szCs w:val="26"/>
        </w:rPr>
      </w:pPr>
      <w:r w:rsidRPr="00CB70E3">
        <w:rPr>
          <w:sz w:val="26"/>
          <w:szCs w:val="26"/>
        </w:rPr>
        <w:t>В последние годы динамика развития отрасли определялась сокращением спроса на строительные материалы со стороны строительного сектора.</w:t>
      </w:r>
    </w:p>
    <w:p w:rsidR="005F0200" w:rsidRPr="00CB70E3" w:rsidRDefault="005F0200" w:rsidP="005F0200">
      <w:pPr>
        <w:spacing w:line="288" w:lineRule="auto"/>
        <w:ind w:firstLine="709"/>
        <w:jc w:val="both"/>
        <w:rPr>
          <w:sz w:val="26"/>
          <w:szCs w:val="26"/>
        </w:rPr>
      </w:pPr>
      <w:r w:rsidRPr="00CB70E3">
        <w:rPr>
          <w:sz w:val="26"/>
          <w:szCs w:val="26"/>
        </w:rPr>
        <w:t>В настоящее время загрузка мощностей по производству строительных материалов не превышает 30-40%, что свидетельствует об имеющемся потенциале отрасли для увеличения объемов производства.</w:t>
      </w:r>
    </w:p>
    <w:p w:rsidR="005F0200" w:rsidRPr="005A7970" w:rsidRDefault="005F0200" w:rsidP="005F0200">
      <w:pPr>
        <w:spacing w:line="288" w:lineRule="auto"/>
        <w:ind w:firstLine="709"/>
        <w:jc w:val="both"/>
        <w:rPr>
          <w:sz w:val="26"/>
          <w:szCs w:val="26"/>
        </w:rPr>
      </w:pPr>
      <w:r w:rsidRPr="00CB70E3">
        <w:rPr>
          <w:sz w:val="26"/>
          <w:szCs w:val="26"/>
        </w:rPr>
        <w:lastRenderedPageBreak/>
        <w:t>Предполагается, что в 201</w:t>
      </w:r>
      <w:r w:rsidR="00CB70E3" w:rsidRPr="00CB70E3">
        <w:rPr>
          <w:sz w:val="26"/>
          <w:szCs w:val="26"/>
        </w:rPr>
        <w:t>9</w:t>
      </w:r>
      <w:r w:rsidRPr="00CB70E3">
        <w:rPr>
          <w:sz w:val="26"/>
          <w:szCs w:val="26"/>
        </w:rPr>
        <w:t xml:space="preserve"> – 2021 годах внутреннее потребление продукции </w:t>
      </w:r>
      <w:r w:rsidRPr="005A7970">
        <w:rPr>
          <w:sz w:val="26"/>
          <w:szCs w:val="26"/>
        </w:rPr>
        <w:t>промышленности строительных материалов будет обусловлено ситуацией в жилищном строительстве, а также объемами строительных работ.</w:t>
      </w:r>
    </w:p>
    <w:p w:rsidR="004E584B" w:rsidRPr="005A7970" w:rsidRDefault="004E584B" w:rsidP="004E584B">
      <w:pPr>
        <w:pStyle w:val="4"/>
        <w:spacing w:after="0" w:line="288" w:lineRule="auto"/>
        <w:jc w:val="both"/>
        <w:rPr>
          <w:i w:val="0"/>
          <w:sz w:val="26"/>
          <w:szCs w:val="26"/>
        </w:rPr>
      </w:pPr>
      <w:r w:rsidRPr="005A7970">
        <w:rPr>
          <w:i w:val="0"/>
          <w:sz w:val="26"/>
          <w:szCs w:val="26"/>
        </w:rPr>
        <w:t>Производство транспортных средств и оборудования (судостроение).</w:t>
      </w:r>
    </w:p>
    <w:p w:rsidR="00060BD6" w:rsidRPr="005A7970" w:rsidRDefault="00060BD6" w:rsidP="00060BD6">
      <w:pPr>
        <w:spacing w:line="288" w:lineRule="auto"/>
        <w:ind w:firstLine="709"/>
        <w:jc w:val="both"/>
        <w:rPr>
          <w:sz w:val="26"/>
          <w:szCs w:val="26"/>
        </w:rPr>
      </w:pPr>
      <w:r w:rsidRPr="005A7970">
        <w:rPr>
          <w:sz w:val="26"/>
          <w:szCs w:val="26"/>
        </w:rPr>
        <w:t xml:space="preserve">К данному виду деятельности относятся, в основном, судоремонтно-судостроительные предприятия, а основную часть продукции производят судостроительные заводы оборонно-промышленного комплекса (ОПК). Территориальный орган Росстата по Архангельской области и Ненецкому автономному округу по этому виду деятельности не публикует данные </w:t>
      </w:r>
      <w:r w:rsidRPr="005A7970">
        <w:rPr>
          <w:sz w:val="26"/>
          <w:szCs w:val="26"/>
        </w:rPr>
        <w:br/>
        <w:t>в стоимостном выражении.</w:t>
      </w:r>
    </w:p>
    <w:p w:rsidR="00106F68" w:rsidRPr="005A7970" w:rsidRDefault="00106F68" w:rsidP="00106F68">
      <w:pPr>
        <w:spacing w:line="288" w:lineRule="auto"/>
        <w:ind w:firstLine="709"/>
        <w:jc w:val="both"/>
        <w:rPr>
          <w:sz w:val="26"/>
          <w:szCs w:val="26"/>
        </w:rPr>
      </w:pPr>
      <w:r w:rsidRPr="005A7970">
        <w:rPr>
          <w:sz w:val="26"/>
          <w:szCs w:val="26"/>
        </w:rPr>
        <w:t xml:space="preserve">Машиностроительный комплекс Архангельской области представлен следующими предприятиями — АО «ПО «Севмаш», АО «ЦС «Звездочка», Архангельский филиал «СРЗ «Красная Кузница» АО «ЦС «Звездочка», </w:t>
      </w:r>
      <w:r w:rsidRPr="005A7970">
        <w:rPr>
          <w:sz w:val="26"/>
          <w:szCs w:val="26"/>
        </w:rPr>
        <w:br/>
        <w:t>АО «СПО Арктика», АО «Северный Рейд», АО «</w:t>
      </w:r>
      <w:proofErr w:type="spellStart"/>
      <w:r w:rsidRPr="005A7970">
        <w:rPr>
          <w:sz w:val="26"/>
          <w:szCs w:val="26"/>
        </w:rPr>
        <w:t>Котласский</w:t>
      </w:r>
      <w:proofErr w:type="spellEnd"/>
      <w:r w:rsidRPr="005A7970">
        <w:rPr>
          <w:sz w:val="26"/>
          <w:szCs w:val="26"/>
        </w:rPr>
        <w:t xml:space="preserve"> электромеханический завод», ООО «</w:t>
      </w:r>
      <w:proofErr w:type="spellStart"/>
      <w:r w:rsidRPr="005A7970">
        <w:rPr>
          <w:sz w:val="26"/>
          <w:szCs w:val="26"/>
        </w:rPr>
        <w:t>Соломбальский</w:t>
      </w:r>
      <w:proofErr w:type="spellEnd"/>
      <w:r w:rsidRPr="005A7970">
        <w:rPr>
          <w:sz w:val="26"/>
          <w:szCs w:val="26"/>
        </w:rPr>
        <w:t xml:space="preserve"> машиностроительный завод», ЗАО «</w:t>
      </w:r>
      <w:proofErr w:type="spellStart"/>
      <w:r w:rsidRPr="005A7970">
        <w:rPr>
          <w:sz w:val="26"/>
          <w:szCs w:val="26"/>
        </w:rPr>
        <w:t>Биус</w:t>
      </w:r>
      <w:proofErr w:type="spellEnd"/>
      <w:r w:rsidRPr="005A7970">
        <w:rPr>
          <w:sz w:val="26"/>
          <w:szCs w:val="26"/>
        </w:rPr>
        <w:t>» и др.</w:t>
      </w:r>
    </w:p>
    <w:p w:rsidR="00106F68" w:rsidRPr="005A7970" w:rsidRDefault="00106F68" w:rsidP="00106F68">
      <w:pPr>
        <w:spacing w:line="288" w:lineRule="auto"/>
        <w:ind w:firstLine="709"/>
        <w:jc w:val="both"/>
        <w:rPr>
          <w:sz w:val="26"/>
          <w:szCs w:val="26"/>
        </w:rPr>
      </w:pPr>
      <w:r w:rsidRPr="005A7970">
        <w:rPr>
          <w:sz w:val="26"/>
          <w:szCs w:val="26"/>
        </w:rPr>
        <w:t>Рост показателей в 2017 году обусловлен завершением работ и спуском</w:t>
      </w:r>
      <w:r w:rsidRPr="005A7970">
        <w:rPr>
          <w:sz w:val="26"/>
          <w:szCs w:val="26"/>
        </w:rPr>
        <w:br/>
        <w:t xml:space="preserve">на воду атомного подводного крейсера Военно-морского флота России «Казань» </w:t>
      </w:r>
      <w:r w:rsidRPr="005A7970">
        <w:rPr>
          <w:sz w:val="26"/>
          <w:szCs w:val="26"/>
        </w:rPr>
        <w:br/>
        <w:t xml:space="preserve">(АО «ПО «Севмаш»), третьего судна в серии четырех спасательных буксиров проекта 20180 - «Академик Александров» (АО «ЦС «Звездочка») и подводного ракетоносца «Князь Владимир проекта 955А «Борей-А» (АО «ПО «Севмаш»). </w:t>
      </w:r>
    </w:p>
    <w:p w:rsidR="00106F68" w:rsidRPr="005A7970" w:rsidRDefault="00106F68" w:rsidP="00106F68">
      <w:pPr>
        <w:spacing w:line="288" w:lineRule="auto"/>
        <w:ind w:firstLine="709"/>
        <w:jc w:val="both"/>
        <w:rPr>
          <w:sz w:val="26"/>
          <w:szCs w:val="26"/>
        </w:rPr>
      </w:pPr>
      <w:r w:rsidRPr="005A7970">
        <w:rPr>
          <w:sz w:val="26"/>
          <w:szCs w:val="26"/>
        </w:rPr>
        <w:t>В настоящее время на АО «ПО «Севмаш» ведется работа по строительству</w:t>
      </w:r>
      <w:r w:rsidRPr="005A7970">
        <w:rPr>
          <w:sz w:val="26"/>
          <w:szCs w:val="26"/>
        </w:rPr>
        <w:br/>
        <w:t>11 атомных подводных лодок проектов «Ясень-М» и «Борей-А», проводится послегарантийное техническое сопровождение эксплуатации авианосца «</w:t>
      </w:r>
      <w:proofErr w:type="spellStart"/>
      <w:r w:rsidRPr="005A7970">
        <w:rPr>
          <w:sz w:val="26"/>
          <w:szCs w:val="26"/>
        </w:rPr>
        <w:t>Викрамадитья</w:t>
      </w:r>
      <w:proofErr w:type="spellEnd"/>
      <w:r w:rsidRPr="005A7970">
        <w:rPr>
          <w:sz w:val="26"/>
          <w:szCs w:val="26"/>
        </w:rPr>
        <w:t xml:space="preserve">» ВМС Индии, осваивается производство резервных двигателей нового проекта для кораблей «Борей-А», необходимых для улучшения маневренности атомных подводных лодок. </w:t>
      </w:r>
    </w:p>
    <w:p w:rsidR="00106F68" w:rsidRPr="005A7970" w:rsidRDefault="00106F68" w:rsidP="00106F68">
      <w:pPr>
        <w:spacing w:line="288" w:lineRule="auto"/>
        <w:ind w:firstLine="709"/>
        <w:jc w:val="both"/>
        <w:rPr>
          <w:spacing w:val="-4"/>
          <w:sz w:val="26"/>
          <w:szCs w:val="26"/>
        </w:rPr>
      </w:pPr>
      <w:r w:rsidRPr="005A7970">
        <w:rPr>
          <w:spacing w:val="-4"/>
          <w:sz w:val="26"/>
          <w:szCs w:val="26"/>
        </w:rPr>
        <w:t xml:space="preserve">В рамках федеральной целевой программы «Развитие </w:t>
      </w:r>
      <w:r w:rsidRPr="005A7970">
        <w:rPr>
          <w:spacing w:val="-4"/>
          <w:sz w:val="26"/>
          <w:szCs w:val="26"/>
        </w:rPr>
        <w:br/>
        <w:t>оборонно-промышленного комплекса» АО «ПО «Севмаш» проводит реконструкцию и техническое перевооружение, главной целью которых является создание современного конкурентоспособного судостроительного предприятия (сокращение сроков выпуска продукции и снижения трудоемкости работ, повышение качества и освоение изготовления новых комплектующих).</w:t>
      </w:r>
      <w:r w:rsidRPr="005A7970">
        <w:rPr>
          <w:spacing w:val="-4"/>
        </w:rPr>
        <w:t xml:space="preserve"> </w:t>
      </w:r>
      <w:r w:rsidRPr="005A7970">
        <w:rPr>
          <w:spacing w:val="-4"/>
          <w:sz w:val="26"/>
          <w:szCs w:val="26"/>
        </w:rPr>
        <w:t xml:space="preserve">В рамках реконструкции предусмотрена модернизация практически всех основных производств предприятия — корпусообрабатывающего, </w:t>
      </w:r>
      <w:proofErr w:type="spellStart"/>
      <w:r w:rsidRPr="005A7970">
        <w:rPr>
          <w:spacing w:val="-4"/>
          <w:sz w:val="26"/>
          <w:szCs w:val="26"/>
        </w:rPr>
        <w:t>корпусосварочного</w:t>
      </w:r>
      <w:proofErr w:type="spellEnd"/>
      <w:r w:rsidRPr="005A7970">
        <w:rPr>
          <w:spacing w:val="-4"/>
          <w:sz w:val="26"/>
          <w:szCs w:val="26"/>
        </w:rPr>
        <w:t>, стапельно-сдаточного, корпусодостроечного, машиностроительного, механомонтажного.</w:t>
      </w:r>
      <w:r w:rsidRPr="005A7970">
        <w:rPr>
          <w:spacing w:val="-4"/>
        </w:rPr>
        <w:t xml:space="preserve"> </w:t>
      </w:r>
      <w:r w:rsidRPr="005A7970">
        <w:rPr>
          <w:spacing w:val="-4"/>
          <w:sz w:val="26"/>
          <w:szCs w:val="26"/>
        </w:rPr>
        <w:t>Планируемый рост производительности труда после завершения реконструкции составит 15-20%.</w:t>
      </w:r>
    </w:p>
    <w:p w:rsidR="00106F68" w:rsidRPr="005A7970" w:rsidRDefault="00106F68" w:rsidP="00106F68">
      <w:pPr>
        <w:spacing w:line="288" w:lineRule="auto"/>
        <w:ind w:firstLine="709"/>
        <w:jc w:val="both"/>
      </w:pPr>
      <w:r w:rsidRPr="005A7970">
        <w:rPr>
          <w:sz w:val="26"/>
          <w:szCs w:val="26"/>
        </w:rPr>
        <w:t xml:space="preserve">В течении трех лет АО «ПО «Севмаш» планирует провести техническое перевооружение машиностроительного, металлургического и неметаллического производства, реконструировать транспортно-передаточный комплекс. С 2020 года планируется приступить к следующему этапу модернизации, в который будут включены электромагнитный и акустический комплекс, измерительная и стендовая </w:t>
      </w:r>
      <w:r w:rsidRPr="005A7970">
        <w:rPr>
          <w:sz w:val="26"/>
          <w:szCs w:val="26"/>
        </w:rPr>
        <w:lastRenderedPageBreak/>
        <w:t>база, окрасочное производство, гидротехнические сооружения, производство изделий из специальных сплавов и др.</w:t>
      </w:r>
      <w:r w:rsidRPr="005A7970">
        <w:t xml:space="preserve"> </w:t>
      </w:r>
    </w:p>
    <w:p w:rsidR="00106F68" w:rsidRPr="005A7970" w:rsidRDefault="00106F68" w:rsidP="00106F68">
      <w:pPr>
        <w:spacing w:line="288" w:lineRule="auto"/>
        <w:ind w:firstLine="709"/>
        <w:jc w:val="both"/>
      </w:pPr>
      <w:r w:rsidRPr="005A7970">
        <w:rPr>
          <w:sz w:val="26"/>
          <w:szCs w:val="26"/>
        </w:rPr>
        <w:t>Обновленные производственные мощности позволят строить все проекты подводных лодок, крупные надводные корабли для военно-морского флота, а также гражданскую морскую технику для внутренних и внешних заказчиков.</w:t>
      </w:r>
      <w:r w:rsidRPr="005A7970">
        <w:t xml:space="preserve"> </w:t>
      </w:r>
    </w:p>
    <w:p w:rsidR="00106F68" w:rsidRPr="005A7970" w:rsidRDefault="00106F68" w:rsidP="00106F68">
      <w:pPr>
        <w:spacing w:line="288" w:lineRule="auto"/>
        <w:ind w:firstLine="709"/>
        <w:jc w:val="both"/>
        <w:rPr>
          <w:sz w:val="26"/>
          <w:szCs w:val="26"/>
        </w:rPr>
      </w:pPr>
      <w:r w:rsidRPr="005A7970">
        <w:rPr>
          <w:sz w:val="26"/>
          <w:szCs w:val="26"/>
        </w:rPr>
        <w:t>АО «ЦС «Звездочка» осуществляет подготовку к участию в организации арктических нефтегазовых проектов, выполняет работы по поставке запасных частей к субмаринам военно-морских сил Индии.</w:t>
      </w:r>
    </w:p>
    <w:p w:rsidR="00106F68" w:rsidRPr="005A7970" w:rsidRDefault="00106F68" w:rsidP="00106F68">
      <w:pPr>
        <w:spacing w:line="288" w:lineRule="auto"/>
        <w:ind w:firstLine="709"/>
        <w:jc w:val="both"/>
        <w:rPr>
          <w:sz w:val="26"/>
          <w:szCs w:val="26"/>
        </w:rPr>
      </w:pPr>
      <w:r w:rsidRPr="005A7970">
        <w:rPr>
          <w:sz w:val="26"/>
          <w:szCs w:val="26"/>
        </w:rPr>
        <w:t xml:space="preserve">В марте 2017 года АО «ЦС «Звёздочка» и компания ABB </w:t>
      </w:r>
      <w:proofErr w:type="spellStart"/>
      <w:r w:rsidRPr="005A7970">
        <w:rPr>
          <w:sz w:val="26"/>
          <w:szCs w:val="26"/>
        </w:rPr>
        <w:t>Oy</w:t>
      </w:r>
      <w:proofErr w:type="spellEnd"/>
      <w:r w:rsidRPr="005A7970">
        <w:rPr>
          <w:sz w:val="26"/>
          <w:szCs w:val="26"/>
        </w:rPr>
        <w:t xml:space="preserve"> </w:t>
      </w:r>
      <w:proofErr w:type="spellStart"/>
      <w:r w:rsidRPr="005A7970">
        <w:rPr>
          <w:sz w:val="26"/>
          <w:szCs w:val="26"/>
        </w:rPr>
        <w:t>Marine</w:t>
      </w:r>
      <w:proofErr w:type="spellEnd"/>
      <w:r w:rsidRPr="005A7970">
        <w:rPr>
          <w:sz w:val="26"/>
          <w:szCs w:val="26"/>
        </w:rPr>
        <w:t xml:space="preserve"> (Финляндия) заключили контракт на поставку сборных гребных винтов </w:t>
      </w:r>
      <w:r w:rsidRPr="005A7970">
        <w:rPr>
          <w:sz w:val="26"/>
          <w:szCs w:val="26"/>
        </w:rPr>
        <w:br/>
        <w:t xml:space="preserve">из высокопрочной нержавеющей стали для оснащения четырех </w:t>
      </w:r>
      <w:proofErr w:type="spellStart"/>
      <w:r w:rsidRPr="005A7970">
        <w:rPr>
          <w:sz w:val="26"/>
          <w:szCs w:val="26"/>
        </w:rPr>
        <w:t>газовозов</w:t>
      </w:r>
      <w:proofErr w:type="spellEnd"/>
      <w:r w:rsidRPr="005A7970">
        <w:rPr>
          <w:sz w:val="26"/>
          <w:szCs w:val="26"/>
        </w:rPr>
        <w:t xml:space="preserve"> проекта «Ямал», строящихся в Южной Корее. В рамках данного контракта предприятие уже отправило 36 полных комплектов для движительно-рулевых комплексов. </w:t>
      </w:r>
      <w:r w:rsidRPr="005A7970">
        <w:rPr>
          <w:sz w:val="26"/>
          <w:szCs w:val="26"/>
        </w:rPr>
        <w:br/>
        <w:t>Вся серия этих судов составляет 15 единиц.</w:t>
      </w:r>
    </w:p>
    <w:p w:rsidR="00106F68" w:rsidRPr="005A7970" w:rsidRDefault="00106F68" w:rsidP="00106F68">
      <w:pPr>
        <w:spacing w:line="288" w:lineRule="auto"/>
        <w:ind w:firstLine="709"/>
        <w:jc w:val="both"/>
        <w:rPr>
          <w:sz w:val="26"/>
          <w:szCs w:val="26"/>
        </w:rPr>
      </w:pPr>
      <w:r w:rsidRPr="005A7970">
        <w:rPr>
          <w:sz w:val="26"/>
          <w:szCs w:val="26"/>
        </w:rPr>
        <w:t xml:space="preserve">Центр </w:t>
      </w:r>
      <w:proofErr w:type="spellStart"/>
      <w:r w:rsidRPr="005A7970">
        <w:rPr>
          <w:sz w:val="26"/>
          <w:szCs w:val="26"/>
        </w:rPr>
        <w:t>пропульсивных</w:t>
      </w:r>
      <w:proofErr w:type="spellEnd"/>
      <w:r w:rsidRPr="005A7970">
        <w:rPr>
          <w:sz w:val="26"/>
          <w:szCs w:val="26"/>
        </w:rPr>
        <w:t xml:space="preserve"> систем АО «ЦС «Звездочка», объединяющий проектные и производственные мощности, ведет разработку и освоение производства подруливающих устройств и </w:t>
      </w:r>
      <w:proofErr w:type="spellStart"/>
      <w:r w:rsidRPr="005A7970">
        <w:rPr>
          <w:sz w:val="26"/>
          <w:szCs w:val="26"/>
        </w:rPr>
        <w:t>винторулевых</w:t>
      </w:r>
      <w:proofErr w:type="spellEnd"/>
      <w:r w:rsidRPr="005A7970">
        <w:rPr>
          <w:sz w:val="26"/>
          <w:szCs w:val="26"/>
        </w:rPr>
        <w:t xml:space="preserve"> колонок механического типа в диапазоне мощностей от 0,5 до 10 МВт. К 2020 году АО «ЦС «Звездочка» сможет обеспечивать потребности отечественного судостроения в подруливающих устройствах и </w:t>
      </w:r>
      <w:proofErr w:type="spellStart"/>
      <w:r w:rsidRPr="005A7970">
        <w:rPr>
          <w:sz w:val="26"/>
          <w:szCs w:val="26"/>
        </w:rPr>
        <w:t>винторулевых</w:t>
      </w:r>
      <w:proofErr w:type="spellEnd"/>
      <w:r w:rsidRPr="005A7970">
        <w:rPr>
          <w:sz w:val="26"/>
          <w:szCs w:val="26"/>
        </w:rPr>
        <w:t xml:space="preserve"> колонках механического типа практически по всей номенклатуре – от буксиров до ледоколов.</w:t>
      </w:r>
    </w:p>
    <w:p w:rsidR="00106F68" w:rsidRPr="005A7970" w:rsidRDefault="00106F68" w:rsidP="00106F68">
      <w:pPr>
        <w:spacing w:line="288" w:lineRule="auto"/>
        <w:ind w:firstLine="709"/>
        <w:jc w:val="both"/>
        <w:rPr>
          <w:sz w:val="26"/>
          <w:szCs w:val="26"/>
        </w:rPr>
      </w:pPr>
      <w:r w:rsidRPr="005A7970">
        <w:rPr>
          <w:sz w:val="26"/>
          <w:szCs w:val="26"/>
        </w:rPr>
        <w:t>АО «ЦС «Звездочка» в июне 2018 года подписало соглашение</w:t>
      </w:r>
      <w:r w:rsidRPr="005A7970">
        <w:rPr>
          <w:sz w:val="26"/>
          <w:szCs w:val="26"/>
        </w:rPr>
        <w:br/>
        <w:t xml:space="preserve">о сотрудничестве с АО «Архангельский траловый флот». Стороны рассматривают совместное участие в комплексе </w:t>
      </w:r>
      <w:proofErr w:type="spellStart"/>
      <w:r w:rsidRPr="005A7970">
        <w:rPr>
          <w:sz w:val="26"/>
          <w:szCs w:val="26"/>
        </w:rPr>
        <w:t>модернизационных</w:t>
      </w:r>
      <w:proofErr w:type="spellEnd"/>
      <w:r w:rsidRPr="005A7970">
        <w:rPr>
          <w:sz w:val="26"/>
          <w:szCs w:val="26"/>
        </w:rPr>
        <w:t>, сервисных работ</w:t>
      </w:r>
      <w:r w:rsidRPr="005A7970">
        <w:rPr>
          <w:sz w:val="26"/>
          <w:szCs w:val="26"/>
        </w:rPr>
        <w:br/>
        <w:t xml:space="preserve">и технического обслуживания рыбопромысловых судов и отдельных видов оборудования. АО «ЦС «Звездочка» активно занимается проведением переговорной и </w:t>
      </w:r>
      <w:proofErr w:type="spellStart"/>
      <w:r w:rsidRPr="005A7970">
        <w:rPr>
          <w:sz w:val="26"/>
          <w:szCs w:val="26"/>
        </w:rPr>
        <w:t>предконтрактной</w:t>
      </w:r>
      <w:proofErr w:type="spellEnd"/>
      <w:r w:rsidRPr="005A7970">
        <w:rPr>
          <w:sz w:val="26"/>
          <w:szCs w:val="26"/>
        </w:rPr>
        <w:t xml:space="preserve"> работы с крупнейшими игроками в сфере </w:t>
      </w:r>
      <w:proofErr w:type="spellStart"/>
      <w:r w:rsidRPr="005A7970">
        <w:rPr>
          <w:sz w:val="26"/>
          <w:szCs w:val="26"/>
        </w:rPr>
        <w:t>нефтегазодобычи</w:t>
      </w:r>
      <w:proofErr w:type="spellEnd"/>
      <w:r w:rsidRPr="005A7970">
        <w:rPr>
          <w:sz w:val="26"/>
          <w:szCs w:val="26"/>
        </w:rPr>
        <w:t xml:space="preserve"> </w:t>
      </w:r>
      <w:r w:rsidRPr="005A7970">
        <w:rPr>
          <w:sz w:val="26"/>
          <w:szCs w:val="26"/>
        </w:rPr>
        <w:br/>
        <w:t>на морском шельфе России по ряду проектов, связанных с освоением арктических месторождений углеводородов.</w:t>
      </w:r>
      <w:r w:rsidRPr="005A7970">
        <w:t xml:space="preserve"> </w:t>
      </w:r>
    </w:p>
    <w:p w:rsidR="00106F68" w:rsidRPr="005A7970" w:rsidRDefault="00106F68" w:rsidP="00106F68">
      <w:pPr>
        <w:spacing w:line="288" w:lineRule="auto"/>
        <w:ind w:firstLine="709"/>
        <w:jc w:val="both"/>
        <w:rPr>
          <w:sz w:val="26"/>
          <w:szCs w:val="26"/>
        </w:rPr>
      </w:pPr>
      <w:r w:rsidRPr="005A7970">
        <w:rPr>
          <w:sz w:val="26"/>
          <w:szCs w:val="26"/>
        </w:rPr>
        <w:t xml:space="preserve">Архангельский филиал «СРЗ «Красная Кузница» АО «ЦС «Звездочка» </w:t>
      </w:r>
      <w:r w:rsidRPr="005A7970">
        <w:rPr>
          <w:sz w:val="26"/>
          <w:szCs w:val="26"/>
        </w:rPr>
        <w:br/>
        <w:t>с 2017 года проводит реконструкцию и техническое перевооружение производственных мощностей для</w:t>
      </w:r>
      <w:r w:rsidRPr="005A7970">
        <w:t xml:space="preserve"> </w:t>
      </w:r>
      <w:r w:rsidRPr="005A7970">
        <w:rPr>
          <w:sz w:val="26"/>
          <w:szCs w:val="26"/>
        </w:rPr>
        <w:t>организации современного судостроительно-судоремонтного предприятия с возможностью обслуживания судов и кораблей Беломорской Военно-морской базы и судовладельцев Северо-Западного региона.  Размер инвестиций составляет 3 000 млн. рублей из собственных средств</w:t>
      </w:r>
      <w:r w:rsidRPr="005A7970">
        <w:rPr>
          <w:sz w:val="26"/>
          <w:szCs w:val="26"/>
        </w:rPr>
        <w:br/>
        <w:t>АО «ЦС «Звездочка». В рамках реализации инвестиционного проекта будет создано 350 новых рабочих мест.</w:t>
      </w:r>
    </w:p>
    <w:p w:rsidR="006853ED" w:rsidRPr="00E701E9" w:rsidRDefault="006853ED" w:rsidP="006853ED">
      <w:pPr>
        <w:pStyle w:val="3"/>
        <w:spacing w:after="0" w:line="288" w:lineRule="auto"/>
        <w:rPr>
          <w:i w:val="0"/>
          <w:sz w:val="26"/>
          <w:szCs w:val="26"/>
        </w:rPr>
      </w:pPr>
      <w:r w:rsidRPr="00E701E9">
        <w:rPr>
          <w:i w:val="0"/>
          <w:sz w:val="26"/>
          <w:szCs w:val="26"/>
        </w:rPr>
        <w:t>Обеспечение электрической энергией, газом и паром (раздел - D).</w:t>
      </w:r>
    </w:p>
    <w:p w:rsidR="006853ED" w:rsidRPr="00E701E9" w:rsidRDefault="006853ED" w:rsidP="006853ED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>В 201</w:t>
      </w:r>
      <w:r w:rsidR="00106F68" w:rsidRPr="00E701E9">
        <w:rPr>
          <w:sz w:val="26"/>
          <w:szCs w:val="26"/>
        </w:rPr>
        <w:t>7</w:t>
      </w:r>
      <w:r w:rsidRPr="00E701E9">
        <w:rPr>
          <w:sz w:val="26"/>
          <w:szCs w:val="26"/>
        </w:rPr>
        <w:t xml:space="preserve"> году индекс производства по виду деятельности в целом составил </w:t>
      </w:r>
      <w:r w:rsidR="00E701E9" w:rsidRPr="00E701E9">
        <w:rPr>
          <w:sz w:val="26"/>
          <w:szCs w:val="26"/>
        </w:rPr>
        <w:t>98,8</w:t>
      </w:r>
      <w:r w:rsidRPr="00E701E9">
        <w:rPr>
          <w:sz w:val="26"/>
          <w:szCs w:val="26"/>
        </w:rPr>
        <w:t xml:space="preserve">%, объем отгруженных товаров – </w:t>
      </w:r>
      <w:r w:rsidR="00E701E9" w:rsidRPr="00E701E9">
        <w:rPr>
          <w:sz w:val="26"/>
          <w:szCs w:val="26"/>
        </w:rPr>
        <w:t>32,8</w:t>
      </w:r>
      <w:r w:rsidRPr="00E701E9">
        <w:rPr>
          <w:sz w:val="26"/>
          <w:szCs w:val="26"/>
        </w:rPr>
        <w:t xml:space="preserve"> млрд. рублей. В 201</w:t>
      </w:r>
      <w:r w:rsidR="006E7624" w:rsidRPr="00E701E9">
        <w:rPr>
          <w:sz w:val="26"/>
          <w:szCs w:val="26"/>
        </w:rPr>
        <w:t>8</w:t>
      </w:r>
      <w:r w:rsidRPr="00E701E9">
        <w:rPr>
          <w:sz w:val="26"/>
          <w:szCs w:val="26"/>
        </w:rPr>
        <w:t xml:space="preserve"> году объем </w:t>
      </w:r>
      <w:r w:rsidRPr="00E701E9">
        <w:rPr>
          <w:sz w:val="26"/>
          <w:szCs w:val="26"/>
        </w:rPr>
        <w:lastRenderedPageBreak/>
        <w:t xml:space="preserve">отгруженных товаров оценивается в </w:t>
      </w:r>
      <w:r w:rsidR="006E7624" w:rsidRPr="00E701E9">
        <w:rPr>
          <w:sz w:val="26"/>
          <w:szCs w:val="26"/>
        </w:rPr>
        <w:t>32,</w:t>
      </w:r>
      <w:r w:rsidR="00E701E9" w:rsidRPr="00E701E9">
        <w:rPr>
          <w:sz w:val="26"/>
          <w:szCs w:val="26"/>
        </w:rPr>
        <w:t>8</w:t>
      </w:r>
      <w:r w:rsidRPr="00E701E9">
        <w:rPr>
          <w:sz w:val="26"/>
          <w:szCs w:val="26"/>
        </w:rPr>
        <w:t xml:space="preserve"> млрд. рублей, индекс производства – </w:t>
      </w:r>
      <w:r w:rsidR="006E7624" w:rsidRPr="00E701E9">
        <w:rPr>
          <w:sz w:val="26"/>
          <w:szCs w:val="26"/>
        </w:rPr>
        <w:t>99,</w:t>
      </w:r>
      <w:r w:rsidR="00E701E9" w:rsidRPr="00E701E9">
        <w:rPr>
          <w:sz w:val="26"/>
          <w:szCs w:val="26"/>
        </w:rPr>
        <w:t>3</w:t>
      </w:r>
      <w:r w:rsidRPr="00E701E9">
        <w:rPr>
          <w:sz w:val="26"/>
          <w:szCs w:val="26"/>
        </w:rPr>
        <w:t xml:space="preserve">%. 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 xml:space="preserve">Самыми крупными объектами генерации энергосистемы Архангельской области являются Архангельская ТЭЦ (450 МВт), Северодвинская ТЭЦ-1 </w:t>
      </w:r>
      <w:r w:rsidR="00326B3A" w:rsidRPr="00E701E9">
        <w:rPr>
          <w:sz w:val="26"/>
          <w:szCs w:val="26"/>
        </w:rPr>
        <w:br/>
      </w:r>
      <w:r w:rsidRPr="00E701E9">
        <w:rPr>
          <w:sz w:val="26"/>
          <w:szCs w:val="26"/>
        </w:rPr>
        <w:t>(188,5 МВт) и Северодвинская ТЭЦ-2 (410 МВт), принадлежащие ПАО «ТГК-2» г.</w:t>
      </w:r>
      <w:r w:rsidR="00326B3A" w:rsidRPr="00E701E9">
        <w:rPr>
          <w:rFonts w:eastAsia="Calibri"/>
        </w:rPr>
        <w:t> </w:t>
      </w:r>
      <w:r w:rsidRPr="00E701E9">
        <w:rPr>
          <w:sz w:val="26"/>
          <w:szCs w:val="26"/>
        </w:rPr>
        <w:t xml:space="preserve">Архангельск. 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 xml:space="preserve">Суммарная установленная мощность теплоэлектростанций, принадлежащих ПАО «ТГК-2» г. Архангельск, составляет 1048,5 МВт (63,56% от суммарной установленной мощности энергосистемы Архангельской области). 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 xml:space="preserve">В г. Вельске на параллельной работе с энергосистемой находится Вельская ГТ ТЭЦ, установленной мощностью 18,0 МВт, принадлежащая АО «ГТ </w:t>
      </w:r>
      <w:proofErr w:type="spellStart"/>
      <w:r w:rsidRPr="00E701E9">
        <w:rPr>
          <w:sz w:val="26"/>
          <w:szCs w:val="26"/>
        </w:rPr>
        <w:t>Энерго</w:t>
      </w:r>
      <w:proofErr w:type="spellEnd"/>
      <w:r w:rsidRPr="00E701E9">
        <w:rPr>
          <w:sz w:val="26"/>
          <w:szCs w:val="26"/>
        </w:rPr>
        <w:t xml:space="preserve">» (1,1% от суммарной установленной мощности энергосистемы Архангельской области). 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>Оставшиеся две электростанции суммарной мощностью 583,0 МВт (35,34% от суммарной установленной мощности энергосистемы Архангельской области) являются электростанциями промышленных предприятий (целлюлозно-бумажных комбинатов), а именно: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>электростанции АО «Архангельский ЦБК», установленной мощностью 230,0 МВт;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>электростанции Филиала АО Группа «Илим» в г. Коряжме, установленной мощностью 353,0 МВт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>В зонах децентрализованного электроснабжения Архангельской области работают 48 дизельных электростанции (ДЭС) суммарной установленной мощностью порядка 45 МВт.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 xml:space="preserve">В г. Мезень электроснабжение осуществляется от ДЭС филиала ПАО «МРСК Северо-Запада» «Архэнерго» с установленной мощностью 7,03 МВт. 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 xml:space="preserve">В </w:t>
      </w:r>
      <w:proofErr w:type="spellStart"/>
      <w:r w:rsidRPr="00E701E9">
        <w:rPr>
          <w:sz w:val="26"/>
          <w:szCs w:val="26"/>
        </w:rPr>
        <w:t>Котласском</w:t>
      </w:r>
      <w:proofErr w:type="spellEnd"/>
      <w:r w:rsidRPr="00E701E9">
        <w:rPr>
          <w:sz w:val="26"/>
          <w:szCs w:val="26"/>
        </w:rPr>
        <w:t xml:space="preserve"> </w:t>
      </w:r>
      <w:proofErr w:type="spellStart"/>
      <w:r w:rsidRPr="00E701E9">
        <w:rPr>
          <w:sz w:val="26"/>
          <w:szCs w:val="26"/>
        </w:rPr>
        <w:t>энергоузле</w:t>
      </w:r>
      <w:proofErr w:type="spellEnd"/>
      <w:r w:rsidRPr="00E701E9">
        <w:rPr>
          <w:sz w:val="26"/>
          <w:szCs w:val="26"/>
        </w:rPr>
        <w:t xml:space="preserve"> нагрузка покрывается электростанциями Филиала АО Группа «Илим» в г. Коряжме, АО «</w:t>
      </w:r>
      <w:proofErr w:type="spellStart"/>
      <w:r w:rsidRPr="00E701E9">
        <w:rPr>
          <w:sz w:val="26"/>
          <w:szCs w:val="26"/>
        </w:rPr>
        <w:t>Комиэнерго</w:t>
      </w:r>
      <w:proofErr w:type="spellEnd"/>
      <w:r w:rsidRPr="00E701E9">
        <w:rPr>
          <w:sz w:val="26"/>
          <w:szCs w:val="26"/>
        </w:rPr>
        <w:t xml:space="preserve">» за счет </w:t>
      </w:r>
      <w:proofErr w:type="spellStart"/>
      <w:r w:rsidRPr="00E701E9">
        <w:rPr>
          <w:sz w:val="26"/>
          <w:szCs w:val="26"/>
        </w:rPr>
        <w:t>перетока</w:t>
      </w:r>
      <w:proofErr w:type="spellEnd"/>
      <w:r w:rsidRPr="00E701E9">
        <w:rPr>
          <w:sz w:val="26"/>
          <w:szCs w:val="26"/>
        </w:rPr>
        <w:t xml:space="preserve"> из ОЭС Центра по ВЛ-220 кВ «</w:t>
      </w:r>
      <w:proofErr w:type="spellStart"/>
      <w:r w:rsidRPr="00E701E9">
        <w:rPr>
          <w:sz w:val="26"/>
          <w:szCs w:val="26"/>
        </w:rPr>
        <w:t>Явенга-Коноша</w:t>
      </w:r>
      <w:proofErr w:type="spellEnd"/>
      <w:r w:rsidRPr="00E701E9">
        <w:rPr>
          <w:sz w:val="26"/>
          <w:szCs w:val="26"/>
        </w:rPr>
        <w:t>», «</w:t>
      </w:r>
      <w:proofErr w:type="spellStart"/>
      <w:r w:rsidRPr="00E701E9">
        <w:rPr>
          <w:sz w:val="26"/>
          <w:szCs w:val="26"/>
        </w:rPr>
        <w:t>Харовск-Коноша</w:t>
      </w:r>
      <w:proofErr w:type="spellEnd"/>
      <w:r w:rsidRPr="00E701E9">
        <w:rPr>
          <w:sz w:val="26"/>
          <w:szCs w:val="26"/>
        </w:rPr>
        <w:t>».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>Электростанции Филиала АО Группа «Илим» в г. Коряжме обеспечивают нагрузку комбината с выдачей в энергосистему от 5 до 30 МВт и принимают небольшое участие в покрытии максимума нагрузки, при постоянном наличии вращающегося резерва около 30 МВт.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 xml:space="preserve">АО «Комиэнерго» работает в основном с выдачей в </w:t>
      </w:r>
      <w:proofErr w:type="spellStart"/>
      <w:r w:rsidRPr="00E701E9">
        <w:rPr>
          <w:sz w:val="26"/>
          <w:szCs w:val="26"/>
        </w:rPr>
        <w:t>Котласский</w:t>
      </w:r>
      <w:proofErr w:type="spellEnd"/>
      <w:r w:rsidRPr="00E701E9">
        <w:rPr>
          <w:sz w:val="26"/>
          <w:szCs w:val="26"/>
        </w:rPr>
        <w:t xml:space="preserve"> </w:t>
      </w:r>
      <w:proofErr w:type="spellStart"/>
      <w:r w:rsidRPr="00E701E9">
        <w:rPr>
          <w:sz w:val="26"/>
          <w:szCs w:val="26"/>
        </w:rPr>
        <w:t>энергоузел</w:t>
      </w:r>
      <w:proofErr w:type="spellEnd"/>
      <w:r w:rsidRPr="00E701E9">
        <w:rPr>
          <w:sz w:val="26"/>
          <w:szCs w:val="26"/>
        </w:rPr>
        <w:t xml:space="preserve"> порядка 20-40 МВт в летнее время и от -10 до +50 МВт в зимнее время, прич</w:t>
      </w:r>
      <w:r w:rsidR="007B693E" w:rsidRPr="00E701E9">
        <w:rPr>
          <w:sz w:val="26"/>
          <w:szCs w:val="26"/>
        </w:rPr>
        <w:t>е</w:t>
      </w:r>
      <w:r w:rsidRPr="00E701E9">
        <w:rPr>
          <w:sz w:val="26"/>
          <w:szCs w:val="26"/>
        </w:rPr>
        <w:t>м ночная выдача часто превышает дневную.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 xml:space="preserve">Около 10-12% потребляемой в Архангельской области электрической энергии приобретается с оптового рынка электроэнергии и мощности по </w:t>
      </w:r>
      <w:proofErr w:type="spellStart"/>
      <w:r w:rsidRPr="00E701E9">
        <w:rPr>
          <w:sz w:val="26"/>
          <w:szCs w:val="26"/>
        </w:rPr>
        <w:t>перетокам</w:t>
      </w:r>
      <w:proofErr w:type="spellEnd"/>
      <w:r w:rsidRPr="00E701E9">
        <w:rPr>
          <w:sz w:val="26"/>
          <w:szCs w:val="26"/>
        </w:rPr>
        <w:t xml:space="preserve"> </w:t>
      </w:r>
      <w:r w:rsidR="007B693E" w:rsidRPr="00E701E9">
        <w:rPr>
          <w:sz w:val="26"/>
          <w:szCs w:val="26"/>
        </w:rPr>
        <w:br/>
      </w:r>
      <w:r w:rsidRPr="00E701E9">
        <w:rPr>
          <w:sz w:val="26"/>
          <w:szCs w:val="26"/>
        </w:rPr>
        <w:t>из Вологодской области и Республики Коми.</w:t>
      </w:r>
    </w:p>
    <w:p w:rsidR="007554A5" w:rsidRPr="00E701E9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E701E9">
        <w:rPr>
          <w:sz w:val="26"/>
          <w:szCs w:val="26"/>
        </w:rPr>
        <w:t xml:space="preserve">Задача по обеспечению потребителей Архангельской области электрической энергией продолжает реализовываться как за счет увеличения производства </w:t>
      </w:r>
      <w:r w:rsidRPr="00E701E9">
        <w:rPr>
          <w:sz w:val="26"/>
          <w:szCs w:val="26"/>
        </w:rPr>
        <w:lastRenderedPageBreak/>
        <w:t xml:space="preserve">собственной электрической энергии на генерирующих станциях Архангельской области, так и за счет создания в будущих периодах технической возможности увеличения </w:t>
      </w:r>
      <w:proofErr w:type="spellStart"/>
      <w:r w:rsidRPr="00E701E9">
        <w:rPr>
          <w:sz w:val="26"/>
          <w:szCs w:val="26"/>
        </w:rPr>
        <w:t>перетоков</w:t>
      </w:r>
      <w:proofErr w:type="spellEnd"/>
      <w:r w:rsidRPr="00E701E9">
        <w:rPr>
          <w:sz w:val="26"/>
          <w:szCs w:val="26"/>
        </w:rPr>
        <w:t xml:space="preserve"> более дешевой электроэнергии с оптового рынка энергии и мощности. </w:t>
      </w:r>
    </w:p>
    <w:p w:rsidR="007554A5" w:rsidRPr="000B1FBC" w:rsidRDefault="007554A5" w:rsidP="007554A5">
      <w:pPr>
        <w:spacing w:line="288" w:lineRule="auto"/>
        <w:ind w:firstLine="709"/>
        <w:jc w:val="both"/>
        <w:rPr>
          <w:sz w:val="26"/>
          <w:szCs w:val="26"/>
        </w:rPr>
      </w:pPr>
      <w:r w:rsidRPr="000B1FBC">
        <w:rPr>
          <w:sz w:val="26"/>
          <w:szCs w:val="26"/>
        </w:rPr>
        <w:t xml:space="preserve">В целом энергосистема Архангельской области в настоящее время полностью обеспечивает потребности потребителей области. </w:t>
      </w:r>
    </w:p>
    <w:p w:rsidR="00AD2579" w:rsidRPr="000B1FBC" w:rsidRDefault="00AD2579" w:rsidP="00AD2579">
      <w:pPr>
        <w:pStyle w:val="2"/>
        <w:spacing w:before="120" w:after="0" w:line="288" w:lineRule="auto"/>
        <w:rPr>
          <w:sz w:val="26"/>
        </w:rPr>
      </w:pPr>
      <w:r w:rsidRPr="000B1FBC">
        <w:rPr>
          <w:sz w:val="26"/>
        </w:rPr>
        <w:t>Промышленность Ненецкого автономного округа.</w:t>
      </w:r>
    </w:p>
    <w:p w:rsidR="007B693E" w:rsidRPr="000B1FBC" w:rsidRDefault="007B693E" w:rsidP="007B693E">
      <w:pPr>
        <w:spacing w:line="288" w:lineRule="auto"/>
        <w:ind w:firstLine="709"/>
        <w:jc w:val="both"/>
        <w:rPr>
          <w:sz w:val="26"/>
          <w:szCs w:val="26"/>
        </w:rPr>
      </w:pPr>
      <w:r w:rsidRPr="000B1FBC">
        <w:rPr>
          <w:sz w:val="26"/>
          <w:szCs w:val="26"/>
        </w:rPr>
        <w:t xml:space="preserve">Индекс промышленного производства за 2017 год составил 97,2%. </w:t>
      </w:r>
      <w:r w:rsidRPr="000B1FBC">
        <w:rPr>
          <w:sz w:val="26"/>
          <w:szCs w:val="26"/>
        </w:rPr>
        <w:br/>
        <w:t>В структуре отгруженной промышленной продукции на долю добычи полезных ископаемых приходится – 91,5 %, обрабатывающих производств – 7,1 %, обеспечения электрической энергией, газом и паром; кондиционирования воздуха – 1,3 % и водоснабжения; водоотведения, организации сбора и утилизации отходов, деятельности по ликвидации загрязнений – 0,2 %.</w:t>
      </w:r>
    </w:p>
    <w:p w:rsidR="007B693E" w:rsidRPr="000B1FBC" w:rsidRDefault="007B693E" w:rsidP="007B693E">
      <w:pPr>
        <w:spacing w:line="288" w:lineRule="auto"/>
        <w:ind w:firstLine="709"/>
        <w:jc w:val="both"/>
        <w:rPr>
          <w:sz w:val="26"/>
          <w:szCs w:val="26"/>
        </w:rPr>
      </w:pPr>
      <w:r w:rsidRPr="000B1FBC">
        <w:rPr>
          <w:sz w:val="26"/>
          <w:szCs w:val="26"/>
        </w:rPr>
        <w:t xml:space="preserve">Весь углеводородный потенциал Ненецкого автономного округа находится </w:t>
      </w:r>
      <w:r w:rsidRPr="000B1FBC">
        <w:rPr>
          <w:sz w:val="26"/>
          <w:szCs w:val="26"/>
        </w:rPr>
        <w:br/>
        <w:t xml:space="preserve">в северной части Тимано-Печорской нефтегазоносной провинции. </w:t>
      </w:r>
    </w:p>
    <w:p w:rsidR="007B693E" w:rsidRPr="000B1FBC" w:rsidRDefault="007B693E" w:rsidP="007B693E">
      <w:pPr>
        <w:spacing w:line="288" w:lineRule="auto"/>
        <w:ind w:firstLine="709"/>
        <w:jc w:val="both"/>
        <w:rPr>
          <w:sz w:val="26"/>
          <w:szCs w:val="26"/>
        </w:rPr>
      </w:pPr>
      <w:r w:rsidRPr="000B1FBC">
        <w:rPr>
          <w:sz w:val="26"/>
          <w:szCs w:val="26"/>
        </w:rPr>
        <w:t xml:space="preserve">На территории округа 93 месторождения углеводородного сырья. </w:t>
      </w:r>
      <w:r w:rsidRPr="000B1FBC">
        <w:rPr>
          <w:sz w:val="26"/>
          <w:szCs w:val="26"/>
        </w:rPr>
        <w:br/>
        <w:t xml:space="preserve">В округе работают порядка 30 компаний - </w:t>
      </w:r>
      <w:proofErr w:type="spellStart"/>
      <w:r w:rsidRPr="000B1FBC">
        <w:rPr>
          <w:sz w:val="26"/>
          <w:szCs w:val="26"/>
        </w:rPr>
        <w:t>недропользователей</w:t>
      </w:r>
      <w:proofErr w:type="spellEnd"/>
      <w:r w:rsidRPr="000B1FBC">
        <w:rPr>
          <w:sz w:val="26"/>
          <w:szCs w:val="26"/>
        </w:rPr>
        <w:t xml:space="preserve">. </w:t>
      </w:r>
    </w:p>
    <w:p w:rsidR="007B693E" w:rsidRPr="000B1FBC" w:rsidRDefault="007B693E" w:rsidP="007B693E">
      <w:pPr>
        <w:spacing w:line="288" w:lineRule="auto"/>
        <w:ind w:firstLine="709"/>
        <w:jc w:val="both"/>
        <w:rPr>
          <w:sz w:val="26"/>
          <w:szCs w:val="26"/>
        </w:rPr>
      </w:pPr>
      <w:r w:rsidRPr="000B1FBC">
        <w:rPr>
          <w:sz w:val="26"/>
          <w:szCs w:val="26"/>
        </w:rPr>
        <w:t>На территории округа сосредоточены 1,1 млрд. тонн извлекаемых запасов нефти и более 545 млрд. м</w:t>
      </w:r>
      <w:r w:rsidRPr="000B1FBC">
        <w:rPr>
          <w:sz w:val="26"/>
          <w:szCs w:val="26"/>
          <w:vertAlign w:val="superscript"/>
        </w:rPr>
        <w:t>3</w:t>
      </w:r>
      <w:r w:rsidRPr="000B1FBC">
        <w:rPr>
          <w:sz w:val="26"/>
          <w:szCs w:val="26"/>
        </w:rPr>
        <w:t xml:space="preserve"> газа. Накопленная добыча нефти </w:t>
      </w:r>
      <w:r w:rsidRPr="000B1FBC">
        <w:rPr>
          <w:sz w:val="26"/>
          <w:szCs w:val="26"/>
        </w:rPr>
        <w:br/>
        <w:t xml:space="preserve">на территории округа с начала разработки составляет 248,5 млн. тонн, степень </w:t>
      </w:r>
      <w:proofErr w:type="spellStart"/>
      <w:r w:rsidRPr="000B1FBC">
        <w:rPr>
          <w:sz w:val="26"/>
          <w:szCs w:val="26"/>
        </w:rPr>
        <w:t>выработанности</w:t>
      </w:r>
      <w:proofErr w:type="spellEnd"/>
      <w:r w:rsidRPr="000B1FBC">
        <w:rPr>
          <w:sz w:val="26"/>
          <w:szCs w:val="26"/>
        </w:rPr>
        <w:t xml:space="preserve"> разведанных запасов нефти достигает 24,4%. Накопленная добыча газа 6,3 млрд. м</w:t>
      </w:r>
      <w:r w:rsidRPr="000B1FBC">
        <w:rPr>
          <w:sz w:val="26"/>
          <w:szCs w:val="26"/>
          <w:vertAlign w:val="superscript"/>
        </w:rPr>
        <w:t>3</w:t>
      </w:r>
      <w:r w:rsidRPr="000B1FBC">
        <w:rPr>
          <w:sz w:val="26"/>
          <w:szCs w:val="26"/>
        </w:rPr>
        <w:t xml:space="preserve">, степень </w:t>
      </w:r>
      <w:proofErr w:type="spellStart"/>
      <w:r w:rsidRPr="000B1FBC">
        <w:rPr>
          <w:sz w:val="26"/>
          <w:szCs w:val="26"/>
        </w:rPr>
        <w:t>выработанности</w:t>
      </w:r>
      <w:proofErr w:type="spellEnd"/>
      <w:r w:rsidRPr="000B1FBC">
        <w:rPr>
          <w:sz w:val="26"/>
          <w:szCs w:val="26"/>
        </w:rPr>
        <w:t xml:space="preserve"> разведанных запасов свободного газа достигает 1,2%. Добыча свободного газа в целях газификации населенных пунктов округа в настоящее время осуществляется на </w:t>
      </w:r>
      <w:proofErr w:type="spellStart"/>
      <w:r w:rsidRPr="000B1FBC">
        <w:rPr>
          <w:sz w:val="26"/>
          <w:szCs w:val="26"/>
        </w:rPr>
        <w:t>Василковском</w:t>
      </w:r>
      <w:proofErr w:type="spellEnd"/>
      <w:r w:rsidRPr="000B1FBC">
        <w:rPr>
          <w:sz w:val="26"/>
          <w:szCs w:val="26"/>
        </w:rPr>
        <w:t xml:space="preserve"> газоконденсатном месторождении.</w:t>
      </w:r>
    </w:p>
    <w:p w:rsidR="007B693E" w:rsidRPr="000B1FBC" w:rsidRDefault="007B693E" w:rsidP="007B693E">
      <w:pPr>
        <w:spacing w:line="288" w:lineRule="auto"/>
        <w:ind w:firstLine="709"/>
        <w:jc w:val="both"/>
        <w:rPr>
          <w:sz w:val="26"/>
          <w:szCs w:val="26"/>
        </w:rPr>
      </w:pPr>
      <w:r w:rsidRPr="000B1FBC">
        <w:rPr>
          <w:sz w:val="26"/>
          <w:szCs w:val="26"/>
        </w:rPr>
        <w:t xml:space="preserve">Крупнейшими </w:t>
      </w:r>
      <w:proofErr w:type="spellStart"/>
      <w:r w:rsidRPr="000B1FBC">
        <w:rPr>
          <w:sz w:val="26"/>
          <w:szCs w:val="26"/>
        </w:rPr>
        <w:t>недропользователями</w:t>
      </w:r>
      <w:proofErr w:type="spellEnd"/>
      <w:r w:rsidRPr="000B1FBC">
        <w:rPr>
          <w:sz w:val="26"/>
          <w:szCs w:val="26"/>
        </w:rPr>
        <w:t>, осуществляющими свою деятельность на территории округа, являются: ООО «ЛУКОЙЛ-Коми», ООО «СК «</w:t>
      </w:r>
      <w:proofErr w:type="spellStart"/>
      <w:r w:rsidRPr="000B1FBC">
        <w:rPr>
          <w:sz w:val="26"/>
          <w:szCs w:val="26"/>
        </w:rPr>
        <w:t>Русвьетпетро</w:t>
      </w:r>
      <w:proofErr w:type="spellEnd"/>
      <w:r w:rsidRPr="000B1FBC">
        <w:rPr>
          <w:sz w:val="26"/>
          <w:szCs w:val="26"/>
        </w:rPr>
        <w:t>», ООО «</w:t>
      </w:r>
      <w:proofErr w:type="spellStart"/>
      <w:r w:rsidRPr="000B1FBC">
        <w:rPr>
          <w:sz w:val="26"/>
          <w:szCs w:val="26"/>
        </w:rPr>
        <w:t>РН-Северная</w:t>
      </w:r>
      <w:proofErr w:type="spellEnd"/>
      <w:r w:rsidRPr="000B1FBC">
        <w:rPr>
          <w:sz w:val="26"/>
          <w:szCs w:val="26"/>
        </w:rPr>
        <w:t xml:space="preserve"> нефть», ООО «</w:t>
      </w:r>
      <w:proofErr w:type="spellStart"/>
      <w:r w:rsidRPr="000B1FBC">
        <w:rPr>
          <w:sz w:val="26"/>
          <w:szCs w:val="26"/>
        </w:rPr>
        <w:t>Зарубежнефть-добыча</w:t>
      </w:r>
      <w:proofErr w:type="spellEnd"/>
      <w:r w:rsidRPr="000B1FBC">
        <w:rPr>
          <w:sz w:val="26"/>
          <w:szCs w:val="26"/>
        </w:rPr>
        <w:t xml:space="preserve"> </w:t>
      </w:r>
      <w:proofErr w:type="spellStart"/>
      <w:r w:rsidRPr="000B1FBC">
        <w:rPr>
          <w:sz w:val="26"/>
          <w:szCs w:val="26"/>
        </w:rPr>
        <w:t>Харьяга</w:t>
      </w:r>
      <w:proofErr w:type="spellEnd"/>
      <w:r w:rsidRPr="000B1FBC">
        <w:rPr>
          <w:sz w:val="26"/>
          <w:szCs w:val="26"/>
        </w:rPr>
        <w:t>», ООО «</w:t>
      </w:r>
      <w:proofErr w:type="spellStart"/>
      <w:r w:rsidRPr="000B1FBC">
        <w:rPr>
          <w:sz w:val="26"/>
          <w:szCs w:val="26"/>
        </w:rPr>
        <w:t>Башнефть-Полюс</w:t>
      </w:r>
      <w:proofErr w:type="spellEnd"/>
      <w:r w:rsidRPr="000B1FBC">
        <w:rPr>
          <w:sz w:val="26"/>
          <w:szCs w:val="26"/>
        </w:rPr>
        <w:t>».</w:t>
      </w:r>
    </w:p>
    <w:p w:rsidR="007B693E" w:rsidRPr="000B1FBC" w:rsidRDefault="007B693E" w:rsidP="007B693E">
      <w:pPr>
        <w:spacing w:line="288" w:lineRule="auto"/>
        <w:ind w:firstLine="709"/>
        <w:jc w:val="both"/>
        <w:rPr>
          <w:sz w:val="26"/>
          <w:szCs w:val="26"/>
        </w:rPr>
      </w:pPr>
      <w:r w:rsidRPr="000B1FBC">
        <w:rPr>
          <w:sz w:val="26"/>
          <w:szCs w:val="26"/>
        </w:rPr>
        <w:t xml:space="preserve">В 2017 году добыто нефти - 17,3 тыс. тонн, или 96,8 % к уровню 2016 года. </w:t>
      </w:r>
      <w:r w:rsidRPr="000B1FBC">
        <w:rPr>
          <w:sz w:val="26"/>
          <w:szCs w:val="26"/>
        </w:rPr>
        <w:br/>
        <w:t xml:space="preserve">В 2018 году </w:t>
      </w:r>
      <w:proofErr w:type="spellStart"/>
      <w:r w:rsidRPr="000B1FBC">
        <w:rPr>
          <w:sz w:val="26"/>
          <w:szCs w:val="26"/>
        </w:rPr>
        <w:t>недропользователи</w:t>
      </w:r>
      <w:proofErr w:type="spellEnd"/>
      <w:r w:rsidRPr="000B1FBC">
        <w:rPr>
          <w:sz w:val="26"/>
          <w:szCs w:val="26"/>
        </w:rPr>
        <w:t xml:space="preserve"> планируют добыть на территории региона 17,5 млн. тонн нефти. </w:t>
      </w:r>
    </w:p>
    <w:p w:rsidR="007B693E" w:rsidRPr="000B1FBC" w:rsidRDefault="007B693E" w:rsidP="007B693E">
      <w:pPr>
        <w:spacing w:line="288" w:lineRule="auto"/>
        <w:ind w:firstLine="709"/>
        <w:jc w:val="both"/>
        <w:rPr>
          <w:sz w:val="26"/>
          <w:szCs w:val="26"/>
        </w:rPr>
      </w:pPr>
      <w:r w:rsidRPr="000B1FBC">
        <w:rPr>
          <w:sz w:val="26"/>
          <w:szCs w:val="26"/>
        </w:rPr>
        <w:t>В прогнозном периоде сохранится тенденция незначительного прироста объемов промышленного производства.</w:t>
      </w:r>
    </w:p>
    <w:p w:rsidR="0020073A" w:rsidRPr="008F65A3" w:rsidRDefault="0020073A" w:rsidP="00252AA1">
      <w:pPr>
        <w:pStyle w:val="1"/>
        <w:spacing w:before="120" w:after="0"/>
        <w:rPr>
          <w:rFonts w:eastAsia="Times New Roman"/>
          <w:szCs w:val="26"/>
        </w:rPr>
      </w:pPr>
      <w:r w:rsidRPr="008F65A3">
        <w:rPr>
          <w:rFonts w:eastAsia="Times New Roman"/>
          <w:szCs w:val="26"/>
        </w:rPr>
        <w:t>Сельское хозяйство</w:t>
      </w:r>
      <w:r w:rsidR="008C0FF0" w:rsidRPr="008F65A3">
        <w:rPr>
          <w:rFonts w:eastAsia="Times New Roman"/>
          <w:szCs w:val="26"/>
        </w:rPr>
        <w:t>.</w:t>
      </w:r>
    </w:p>
    <w:p w:rsidR="00E75C47" w:rsidRPr="008F65A3" w:rsidRDefault="00E75C47" w:rsidP="00E75C47">
      <w:pPr>
        <w:spacing w:line="288" w:lineRule="auto"/>
        <w:ind w:firstLine="709"/>
        <w:jc w:val="both"/>
        <w:rPr>
          <w:sz w:val="26"/>
          <w:szCs w:val="26"/>
        </w:rPr>
      </w:pPr>
      <w:r w:rsidRPr="008F65A3">
        <w:rPr>
          <w:sz w:val="26"/>
          <w:szCs w:val="26"/>
        </w:rPr>
        <w:t>В 2017 году в сельском хозяйстве Архангельской области произошло резкое снижение продукции сельского хозяйства (</w:t>
      </w:r>
      <w:r w:rsidR="00CC3586">
        <w:rPr>
          <w:sz w:val="26"/>
          <w:szCs w:val="26"/>
        </w:rPr>
        <w:t>84</w:t>
      </w:r>
      <w:r w:rsidRPr="008F65A3">
        <w:rPr>
          <w:sz w:val="26"/>
          <w:szCs w:val="26"/>
        </w:rPr>
        <w:t xml:space="preserve">% к уровню 2016 года) вследствие снижения производства продукции растениеводства во всех категориях хозяйств (70,8%), вызванного неблагоприятными погодными условиями летних месяцев </w:t>
      </w:r>
      <w:r w:rsidRPr="008F65A3">
        <w:rPr>
          <w:sz w:val="26"/>
          <w:szCs w:val="26"/>
        </w:rPr>
        <w:br/>
        <w:t xml:space="preserve">2017 года. Вследствие резкого снижения производства в 2017 году, в 2018 году индекс производства продукции сельского хозяйства в целом, а также индекс </w:t>
      </w:r>
      <w:r w:rsidRPr="008F65A3">
        <w:rPr>
          <w:sz w:val="26"/>
          <w:szCs w:val="26"/>
        </w:rPr>
        <w:lastRenderedPageBreak/>
        <w:t xml:space="preserve">производства продукции растениеводства ожидаются достаточно высокими </w:t>
      </w:r>
      <w:r w:rsidRPr="008F65A3">
        <w:rPr>
          <w:sz w:val="26"/>
          <w:szCs w:val="26"/>
        </w:rPr>
        <w:br/>
        <w:t>к уровню 2017 года.</w:t>
      </w:r>
    </w:p>
    <w:p w:rsidR="00E75C47" w:rsidRPr="008D4B1E" w:rsidRDefault="00E75C47" w:rsidP="00294574">
      <w:pPr>
        <w:spacing w:line="288" w:lineRule="auto"/>
        <w:ind w:firstLine="709"/>
        <w:jc w:val="both"/>
        <w:rPr>
          <w:sz w:val="26"/>
          <w:szCs w:val="26"/>
        </w:rPr>
      </w:pPr>
      <w:r w:rsidRPr="008D4B1E">
        <w:rPr>
          <w:sz w:val="26"/>
          <w:szCs w:val="26"/>
        </w:rPr>
        <w:t xml:space="preserve">В животноводстве в 2018 году продолжается рост производства молока </w:t>
      </w:r>
      <w:r w:rsidRPr="008D4B1E">
        <w:rPr>
          <w:sz w:val="26"/>
          <w:szCs w:val="26"/>
        </w:rPr>
        <w:br/>
        <w:t xml:space="preserve">в коллективных хозяйствах (4% к уровню 2017 года) по причине увеличения продуктивности коров, обеспеченного использованием племенного скота </w:t>
      </w:r>
      <w:r w:rsidRPr="008D4B1E">
        <w:rPr>
          <w:sz w:val="26"/>
          <w:szCs w:val="26"/>
        </w:rPr>
        <w:br/>
        <w:t xml:space="preserve">в сельскохозяйственных организациях. Несмотря на рост производства продукции животноводства в коллективных хозяйствах, индекс продукции животноводства </w:t>
      </w:r>
      <w:r w:rsidRPr="008D4B1E">
        <w:rPr>
          <w:sz w:val="26"/>
          <w:szCs w:val="26"/>
        </w:rPr>
        <w:br/>
        <w:t>в 2018 году ожидается около отметки 100%, так как в хозяйствах населения продолжается снижение поголовья скота и, как следствие, снижение объемов производства продукции животноводства (молока – на 15%, мяса – на 26,7%). Также в 2018 году снижают объемы производства яиц птицефабрики области (</w:t>
      </w:r>
      <w:proofErr w:type="spellStart"/>
      <w:r w:rsidRPr="008D4B1E">
        <w:rPr>
          <w:sz w:val="26"/>
          <w:szCs w:val="26"/>
        </w:rPr>
        <w:t>Котласская</w:t>
      </w:r>
      <w:proofErr w:type="spellEnd"/>
      <w:r w:rsidRPr="008D4B1E">
        <w:rPr>
          <w:sz w:val="26"/>
          <w:szCs w:val="26"/>
        </w:rPr>
        <w:t xml:space="preserve"> и </w:t>
      </w:r>
      <w:proofErr w:type="spellStart"/>
      <w:r w:rsidRPr="008D4B1E">
        <w:rPr>
          <w:sz w:val="26"/>
          <w:szCs w:val="26"/>
        </w:rPr>
        <w:t>Уемская</w:t>
      </w:r>
      <w:proofErr w:type="spellEnd"/>
      <w:r w:rsidRPr="008D4B1E">
        <w:rPr>
          <w:sz w:val="26"/>
          <w:szCs w:val="26"/>
        </w:rPr>
        <w:t>) – на 39% и на 28% соответственно к уровню 2017 года.</w:t>
      </w:r>
    </w:p>
    <w:p w:rsidR="001D4B34" w:rsidRPr="008D4B1E" w:rsidRDefault="001D4B34" w:rsidP="001D4B34">
      <w:pPr>
        <w:spacing w:line="288" w:lineRule="auto"/>
        <w:ind w:firstLine="709"/>
        <w:jc w:val="both"/>
        <w:rPr>
          <w:sz w:val="26"/>
          <w:szCs w:val="26"/>
        </w:rPr>
      </w:pPr>
      <w:r w:rsidRPr="008D4B1E">
        <w:rPr>
          <w:sz w:val="26"/>
          <w:szCs w:val="26"/>
        </w:rPr>
        <w:t xml:space="preserve">В базовом варианте прогноза темпы развития отрасли на уровне </w:t>
      </w:r>
      <w:r w:rsidR="008D4B1E" w:rsidRPr="008D4B1E">
        <w:rPr>
          <w:sz w:val="26"/>
          <w:szCs w:val="26"/>
        </w:rPr>
        <w:t xml:space="preserve">порядка </w:t>
      </w:r>
      <w:r w:rsidRPr="008D4B1E">
        <w:rPr>
          <w:sz w:val="26"/>
          <w:szCs w:val="26"/>
        </w:rPr>
        <w:t>100</w:t>
      </w:r>
      <w:r w:rsidR="008D4B1E" w:rsidRPr="008D4B1E">
        <w:rPr>
          <w:sz w:val="26"/>
          <w:szCs w:val="26"/>
        </w:rPr>
        <w:t>,4%</w:t>
      </w:r>
      <w:r w:rsidRPr="008D4B1E">
        <w:rPr>
          <w:sz w:val="26"/>
          <w:szCs w:val="26"/>
        </w:rPr>
        <w:t xml:space="preserve">. Следует отметить, что аналогичные темпы развития для агропромышленного комплекса Архангельской области согласованы </w:t>
      </w:r>
      <w:r w:rsidRPr="008D4B1E">
        <w:rPr>
          <w:sz w:val="26"/>
          <w:szCs w:val="26"/>
        </w:rPr>
        <w:br/>
        <w:t>с Минсельхозом России и утверждены государственной программой развития сельского хозяйства и регулирования рынков сельскохозяйственной продукции, сырья и продовольствия Архангельской области на 2013-2016 годы, утвержденной постановлением правительства Архангельской области от 09.10.2012 г. № 436-пп (далее – государственная программа развития сельского хозяйства).</w:t>
      </w:r>
    </w:p>
    <w:p w:rsidR="001D4B34" w:rsidRPr="008D4B1E" w:rsidRDefault="001D4B34" w:rsidP="00DE09F5">
      <w:pPr>
        <w:spacing w:line="288" w:lineRule="auto"/>
        <w:ind w:firstLine="709"/>
        <w:jc w:val="both"/>
        <w:rPr>
          <w:sz w:val="26"/>
          <w:szCs w:val="26"/>
        </w:rPr>
      </w:pPr>
      <w:r w:rsidRPr="008D4B1E">
        <w:rPr>
          <w:sz w:val="26"/>
          <w:szCs w:val="26"/>
        </w:rPr>
        <w:t xml:space="preserve">Невысокие темпы роста производства продукции сельского хозяйства </w:t>
      </w:r>
      <w:r w:rsidRPr="008D4B1E">
        <w:rPr>
          <w:sz w:val="26"/>
          <w:szCs w:val="26"/>
        </w:rPr>
        <w:br/>
        <w:t xml:space="preserve">в области, указанные в прогнозе, являются следствием ежегодного снижения производства продукции в хозяйствах населения. Посевные площади </w:t>
      </w:r>
      <w:r w:rsidRPr="008D4B1E">
        <w:rPr>
          <w:sz w:val="26"/>
          <w:szCs w:val="26"/>
        </w:rPr>
        <w:br/>
        <w:t xml:space="preserve">в хозяйствах населения имеют постоянную (от 2 до 5 процентов ежегодно) тенденцию к уменьшению (демографические проблемы), в 2017 году посевные площади в хозяйствах населения сократились на 3,1 процента </w:t>
      </w:r>
      <w:r w:rsidRPr="008D4B1E">
        <w:rPr>
          <w:sz w:val="26"/>
          <w:szCs w:val="26"/>
        </w:rPr>
        <w:br/>
        <w:t xml:space="preserve">к уровню 2016 года. Объемы производства в коллективных хозяйствах (получающих государственную поддержку) не перекрывают снижение производства в хозяйствах населения, производящих основной объем продукции растениеводства </w:t>
      </w:r>
      <w:r w:rsidR="008D4B1E" w:rsidRPr="008D4B1E">
        <w:rPr>
          <w:sz w:val="26"/>
          <w:szCs w:val="26"/>
        </w:rPr>
        <w:br/>
      </w:r>
      <w:r w:rsidRPr="008D4B1E">
        <w:rPr>
          <w:sz w:val="26"/>
          <w:szCs w:val="26"/>
        </w:rPr>
        <w:t>(80 процентов от общего объема).</w:t>
      </w:r>
    </w:p>
    <w:p w:rsidR="001D4B34" w:rsidRPr="008D4B1E" w:rsidRDefault="001D4B34" w:rsidP="00DE09F5">
      <w:pPr>
        <w:spacing w:line="288" w:lineRule="auto"/>
        <w:ind w:firstLine="709"/>
        <w:jc w:val="both"/>
        <w:rPr>
          <w:sz w:val="26"/>
          <w:szCs w:val="26"/>
        </w:rPr>
      </w:pPr>
      <w:r w:rsidRPr="008D4B1E">
        <w:rPr>
          <w:sz w:val="26"/>
          <w:szCs w:val="26"/>
        </w:rPr>
        <w:t xml:space="preserve">В отрасли животноводства увеличение объемов производства ожидается только по производству молока в коллективных хозяйствах (в 2017 году – </w:t>
      </w:r>
      <w:r w:rsidRPr="008D4B1E">
        <w:rPr>
          <w:sz w:val="26"/>
          <w:szCs w:val="26"/>
        </w:rPr>
        <w:br/>
        <w:t>5 процентов к уровню прошлого года), в дальнейшем темпы роста могут снижаться (до 1-2 процентов ежегодно), вследствие прекращения деятельности некрупных сельскохозяйственных организаций и крестьянских хозяйств из-за финансовых проблем. Значительного увеличения производства яиц не предполагается (по решению собственников). Высоких темпов роста объемов производства в отрасли жив</w:t>
      </w:r>
      <w:r w:rsidR="008D4B1E" w:rsidRPr="008D4B1E">
        <w:rPr>
          <w:sz w:val="26"/>
          <w:szCs w:val="26"/>
        </w:rPr>
        <w:t xml:space="preserve">отноводства на плановый период </w:t>
      </w:r>
      <w:r w:rsidRPr="008D4B1E">
        <w:rPr>
          <w:sz w:val="26"/>
          <w:szCs w:val="26"/>
        </w:rPr>
        <w:t>не планируется, так как темпы роста в предыдущие годы обеспечивали значительные объемы производства мяса пт</w:t>
      </w:r>
      <w:r w:rsidR="008D4B1E" w:rsidRPr="008D4B1E">
        <w:rPr>
          <w:sz w:val="26"/>
          <w:szCs w:val="26"/>
        </w:rPr>
        <w:t xml:space="preserve">ицы, которые в настоящее время </w:t>
      </w:r>
      <w:r w:rsidRPr="008D4B1E">
        <w:rPr>
          <w:sz w:val="26"/>
          <w:szCs w:val="26"/>
        </w:rPr>
        <w:t>в области не производятся.</w:t>
      </w:r>
    </w:p>
    <w:p w:rsidR="005C6BD4" w:rsidRPr="00FC6E27" w:rsidRDefault="005C6BD4" w:rsidP="00252AA1">
      <w:pPr>
        <w:pStyle w:val="1"/>
        <w:spacing w:before="120" w:after="0"/>
        <w:rPr>
          <w:rFonts w:eastAsia="Times New Roman"/>
          <w:szCs w:val="26"/>
        </w:rPr>
      </w:pPr>
      <w:r w:rsidRPr="00FC6E27">
        <w:rPr>
          <w:rFonts w:eastAsia="Times New Roman"/>
          <w:szCs w:val="26"/>
        </w:rPr>
        <w:lastRenderedPageBreak/>
        <w:t>Жилищное строительство</w:t>
      </w:r>
      <w:r w:rsidR="008C0FF0" w:rsidRPr="00FC6E27">
        <w:rPr>
          <w:rFonts w:eastAsia="Times New Roman"/>
          <w:szCs w:val="26"/>
        </w:rPr>
        <w:t>.</w:t>
      </w:r>
    </w:p>
    <w:p w:rsidR="00DD2431" w:rsidRPr="00FC6E27" w:rsidRDefault="00294574" w:rsidP="00DC30F0">
      <w:pPr>
        <w:tabs>
          <w:tab w:val="left" w:pos="7020"/>
        </w:tabs>
        <w:spacing w:line="288" w:lineRule="auto"/>
        <w:ind w:firstLine="567"/>
        <w:jc w:val="both"/>
        <w:rPr>
          <w:sz w:val="26"/>
          <w:szCs w:val="26"/>
        </w:rPr>
      </w:pPr>
      <w:r w:rsidRPr="00FC6E27">
        <w:rPr>
          <w:sz w:val="26"/>
          <w:szCs w:val="26"/>
        </w:rPr>
        <w:t>На территории Архангельской области за 201</w:t>
      </w:r>
      <w:r w:rsidR="00DD2431" w:rsidRPr="00FC6E27">
        <w:rPr>
          <w:sz w:val="26"/>
          <w:szCs w:val="26"/>
        </w:rPr>
        <w:t>7</w:t>
      </w:r>
      <w:r w:rsidRPr="00FC6E27">
        <w:rPr>
          <w:sz w:val="26"/>
          <w:szCs w:val="26"/>
        </w:rPr>
        <w:t xml:space="preserve"> год </w:t>
      </w:r>
      <w:r w:rsidR="00DD2431" w:rsidRPr="00FC6E27">
        <w:rPr>
          <w:sz w:val="28"/>
          <w:szCs w:val="28"/>
        </w:rPr>
        <w:t>построено 394,</w:t>
      </w:r>
      <w:r w:rsidR="00DC30F0" w:rsidRPr="00FC6E27">
        <w:rPr>
          <w:sz w:val="28"/>
          <w:szCs w:val="28"/>
        </w:rPr>
        <w:t>9</w:t>
      </w:r>
      <w:r w:rsidR="00DD2431" w:rsidRPr="00FC6E27">
        <w:rPr>
          <w:sz w:val="28"/>
          <w:szCs w:val="28"/>
        </w:rPr>
        <w:t xml:space="preserve"> тыс. кв. м жилья, что составляет 115,</w:t>
      </w:r>
      <w:r w:rsidR="00DC30F0" w:rsidRPr="00FC6E27">
        <w:rPr>
          <w:sz w:val="28"/>
          <w:szCs w:val="28"/>
        </w:rPr>
        <w:t>3</w:t>
      </w:r>
      <w:r w:rsidR="00DD2431" w:rsidRPr="00FC6E27">
        <w:rPr>
          <w:sz w:val="28"/>
          <w:szCs w:val="28"/>
        </w:rPr>
        <w:t xml:space="preserve">% к 2016 году. Из них индивидуальными </w:t>
      </w:r>
      <w:r w:rsidR="00DD2431" w:rsidRPr="00FC6E27">
        <w:rPr>
          <w:sz w:val="26"/>
          <w:szCs w:val="26"/>
        </w:rPr>
        <w:t>застройщиками построено 131 тыс. кв. м. или 33,2% от общего объема.</w:t>
      </w:r>
    </w:p>
    <w:p w:rsidR="00DC30F0" w:rsidRPr="00FC6E27" w:rsidRDefault="00DC30F0" w:rsidP="00DC30F0">
      <w:pPr>
        <w:tabs>
          <w:tab w:val="left" w:pos="7020"/>
        </w:tabs>
        <w:spacing w:line="288" w:lineRule="auto"/>
        <w:ind w:firstLine="567"/>
        <w:jc w:val="both"/>
        <w:rPr>
          <w:sz w:val="26"/>
          <w:szCs w:val="26"/>
        </w:rPr>
      </w:pPr>
      <w:r w:rsidRPr="00FC6E27">
        <w:rPr>
          <w:sz w:val="26"/>
          <w:szCs w:val="26"/>
        </w:rPr>
        <w:t xml:space="preserve">Прогнозные показатели на 2019-2021 годы приняты в соответствии </w:t>
      </w:r>
      <w:r w:rsidRPr="00FC6E27">
        <w:rPr>
          <w:sz w:val="26"/>
          <w:szCs w:val="26"/>
        </w:rPr>
        <w:br/>
        <w:t>с государственной программой Архангельской области «Обеспечение качественным, доступным жильем и объектами инженерной инфраструктуры населения Архангельской области (2014 – 2020 годы)» (консервативный и базовый варианты), на основании прогнозных данных муниципальных образований (целевой).</w:t>
      </w:r>
    </w:p>
    <w:p w:rsidR="0020073A" w:rsidRPr="00FC6E27" w:rsidRDefault="0020073A" w:rsidP="00252AA1">
      <w:pPr>
        <w:pStyle w:val="1"/>
        <w:spacing w:before="120" w:after="0"/>
        <w:rPr>
          <w:szCs w:val="26"/>
        </w:rPr>
      </w:pPr>
      <w:r w:rsidRPr="00FC6E27">
        <w:rPr>
          <w:szCs w:val="26"/>
        </w:rPr>
        <w:t>Рынок товаров и услуг</w:t>
      </w:r>
      <w:r w:rsidR="008C0FF0" w:rsidRPr="00FC6E27">
        <w:rPr>
          <w:szCs w:val="26"/>
        </w:rPr>
        <w:t>.</w:t>
      </w:r>
    </w:p>
    <w:p w:rsidR="00294574" w:rsidRPr="00FC6E27" w:rsidRDefault="00294574" w:rsidP="00294574">
      <w:pPr>
        <w:spacing w:line="288" w:lineRule="auto"/>
        <w:ind w:firstLine="720"/>
        <w:jc w:val="both"/>
        <w:rPr>
          <w:sz w:val="26"/>
          <w:szCs w:val="26"/>
        </w:rPr>
      </w:pPr>
      <w:r w:rsidRPr="00FC6E27">
        <w:rPr>
          <w:sz w:val="26"/>
          <w:szCs w:val="26"/>
        </w:rPr>
        <w:t>По итогам 201</w:t>
      </w:r>
      <w:r w:rsidR="00717180" w:rsidRPr="00FC6E27">
        <w:rPr>
          <w:sz w:val="26"/>
          <w:szCs w:val="26"/>
        </w:rPr>
        <w:t>7</w:t>
      </w:r>
      <w:r w:rsidRPr="00FC6E27">
        <w:rPr>
          <w:sz w:val="26"/>
          <w:szCs w:val="26"/>
        </w:rPr>
        <w:t xml:space="preserve"> года среднегодовой индекс потребительских цен (за период </w:t>
      </w:r>
      <w:r w:rsidR="00717180" w:rsidRPr="00FC6E27">
        <w:rPr>
          <w:sz w:val="26"/>
          <w:szCs w:val="26"/>
        </w:rPr>
        <w:br/>
      </w:r>
      <w:r w:rsidRPr="00FC6E27">
        <w:rPr>
          <w:sz w:val="26"/>
          <w:szCs w:val="26"/>
        </w:rPr>
        <w:t xml:space="preserve">с начала года к соответствующему периоду предыдущего года) в Архангельской области сложился на уровне </w:t>
      </w:r>
      <w:r w:rsidR="00717180" w:rsidRPr="00FC6E27">
        <w:rPr>
          <w:sz w:val="26"/>
          <w:szCs w:val="26"/>
        </w:rPr>
        <w:t>103,3</w:t>
      </w:r>
      <w:r w:rsidRPr="00FC6E27">
        <w:rPr>
          <w:sz w:val="26"/>
          <w:szCs w:val="26"/>
        </w:rPr>
        <w:t>%. В 201</w:t>
      </w:r>
      <w:r w:rsidR="00717180" w:rsidRPr="00FC6E27">
        <w:rPr>
          <w:sz w:val="26"/>
          <w:szCs w:val="26"/>
        </w:rPr>
        <w:t>8</w:t>
      </w:r>
      <w:r w:rsidRPr="00FC6E27">
        <w:rPr>
          <w:sz w:val="26"/>
          <w:szCs w:val="26"/>
        </w:rPr>
        <w:t xml:space="preserve"> году индекс потребительских цен </w:t>
      </w:r>
      <w:r w:rsidRPr="00FC6E27">
        <w:rPr>
          <w:sz w:val="26"/>
          <w:szCs w:val="26"/>
        </w:rPr>
        <w:br/>
        <w:t xml:space="preserve">за период с начала года к соответствующему периоду предыдущего года рассчитан, исходя из анализа ретроспективных данных уровня месячной инфляции в регионе, и оценивается на уровне </w:t>
      </w:r>
      <w:r w:rsidR="00717180" w:rsidRPr="00FC6E27">
        <w:rPr>
          <w:sz w:val="26"/>
          <w:szCs w:val="26"/>
        </w:rPr>
        <w:t>101,5</w:t>
      </w:r>
      <w:r w:rsidRPr="00FC6E27">
        <w:rPr>
          <w:sz w:val="26"/>
          <w:szCs w:val="26"/>
        </w:rPr>
        <w:t>%. Прогноз на период 201</w:t>
      </w:r>
      <w:r w:rsidR="00717180" w:rsidRPr="00FC6E27">
        <w:rPr>
          <w:sz w:val="26"/>
          <w:szCs w:val="26"/>
        </w:rPr>
        <w:t>9</w:t>
      </w:r>
      <w:r w:rsidRPr="00FC6E27">
        <w:rPr>
          <w:sz w:val="26"/>
          <w:szCs w:val="26"/>
        </w:rPr>
        <w:t>-202</w:t>
      </w:r>
      <w:r w:rsidR="00717180" w:rsidRPr="00FC6E27">
        <w:rPr>
          <w:sz w:val="26"/>
          <w:szCs w:val="26"/>
        </w:rPr>
        <w:t>1</w:t>
      </w:r>
      <w:r w:rsidRPr="00FC6E27">
        <w:rPr>
          <w:sz w:val="26"/>
          <w:szCs w:val="26"/>
        </w:rPr>
        <w:t xml:space="preserve"> годы рассчитан, исходя из оценки 201</w:t>
      </w:r>
      <w:r w:rsidR="00717180" w:rsidRPr="00FC6E27">
        <w:rPr>
          <w:sz w:val="26"/>
          <w:szCs w:val="26"/>
        </w:rPr>
        <w:t>8</w:t>
      </w:r>
      <w:r w:rsidRPr="00FC6E27">
        <w:rPr>
          <w:sz w:val="26"/>
          <w:szCs w:val="26"/>
        </w:rPr>
        <w:t xml:space="preserve"> года, исходных условий для формирования вариантов развития экономики Российской Федерации на период до 202</w:t>
      </w:r>
      <w:r w:rsidR="00717180" w:rsidRPr="00FC6E27">
        <w:rPr>
          <w:sz w:val="26"/>
          <w:szCs w:val="26"/>
        </w:rPr>
        <w:t>1</w:t>
      </w:r>
      <w:r w:rsidRPr="00FC6E27">
        <w:rPr>
          <w:sz w:val="26"/>
          <w:szCs w:val="26"/>
        </w:rPr>
        <w:t xml:space="preserve"> года и с учетом существующих в регионе тенденций.</w:t>
      </w:r>
    </w:p>
    <w:p w:rsidR="00294574" w:rsidRPr="00FC6E27" w:rsidRDefault="00294574" w:rsidP="00294574">
      <w:pPr>
        <w:spacing w:line="288" w:lineRule="auto"/>
        <w:ind w:firstLine="720"/>
        <w:jc w:val="both"/>
        <w:rPr>
          <w:sz w:val="26"/>
          <w:szCs w:val="26"/>
        </w:rPr>
      </w:pPr>
      <w:r w:rsidRPr="00FC6E27">
        <w:rPr>
          <w:sz w:val="26"/>
          <w:szCs w:val="26"/>
        </w:rPr>
        <w:t>Оборот розничной торговли Архангельской области в 201</w:t>
      </w:r>
      <w:r w:rsidR="006164BA" w:rsidRPr="00FC6E27">
        <w:rPr>
          <w:sz w:val="26"/>
          <w:szCs w:val="26"/>
        </w:rPr>
        <w:t>7</w:t>
      </w:r>
      <w:r w:rsidRPr="00FC6E27">
        <w:rPr>
          <w:sz w:val="26"/>
          <w:szCs w:val="26"/>
        </w:rPr>
        <w:t xml:space="preserve"> году составил </w:t>
      </w:r>
      <w:r w:rsidR="006164BA" w:rsidRPr="00FC6E27">
        <w:rPr>
          <w:sz w:val="26"/>
          <w:szCs w:val="26"/>
        </w:rPr>
        <w:t>242,6</w:t>
      </w:r>
      <w:r w:rsidRPr="00FC6E27">
        <w:rPr>
          <w:sz w:val="26"/>
          <w:szCs w:val="26"/>
        </w:rPr>
        <w:t xml:space="preserve"> млрд. рублей с падением в сопоставимых ценах </w:t>
      </w:r>
      <w:r w:rsidR="006164BA" w:rsidRPr="00FC6E27">
        <w:rPr>
          <w:sz w:val="26"/>
          <w:szCs w:val="26"/>
        </w:rPr>
        <w:t>2,7</w:t>
      </w:r>
      <w:r w:rsidRPr="00FC6E27">
        <w:rPr>
          <w:sz w:val="26"/>
          <w:szCs w:val="26"/>
        </w:rPr>
        <w:t>% к 201</w:t>
      </w:r>
      <w:r w:rsidR="006164BA" w:rsidRPr="00FC6E27">
        <w:rPr>
          <w:sz w:val="26"/>
          <w:szCs w:val="26"/>
        </w:rPr>
        <w:t>6</w:t>
      </w:r>
      <w:r w:rsidRPr="00FC6E27">
        <w:rPr>
          <w:sz w:val="26"/>
          <w:szCs w:val="26"/>
        </w:rPr>
        <w:t xml:space="preserve"> году. </w:t>
      </w:r>
    </w:p>
    <w:p w:rsidR="00294574" w:rsidRPr="00FC6E27" w:rsidRDefault="00294574" w:rsidP="00C949F8">
      <w:pPr>
        <w:spacing w:line="288" w:lineRule="auto"/>
        <w:ind w:firstLine="720"/>
        <w:jc w:val="both"/>
        <w:rPr>
          <w:sz w:val="26"/>
          <w:szCs w:val="26"/>
        </w:rPr>
      </w:pPr>
      <w:r w:rsidRPr="00FC6E27">
        <w:rPr>
          <w:sz w:val="26"/>
          <w:szCs w:val="26"/>
        </w:rPr>
        <w:t>В целом сферу торговли Архангельской области характеризует стабильность, высокая предпринимательская и инвестиционная активность, положительная динамика развития. К положительным тенденциям относятся строительство и ввод в эксплуатацию крупных организаций современного формата, увеличение количества организаций потребительского рынка, высокий уровень на</w:t>
      </w:r>
      <w:r w:rsidR="00C949F8" w:rsidRPr="00FC6E27">
        <w:rPr>
          <w:sz w:val="26"/>
          <w:szCs w:val="26"/>
        </w:rPr>
        <w:t xml:space="preserve">сыщенности товарами и услугами. </w:t>
      </w:r>
      <w:r w:rsidRPr="00FC6E27">
        <w:rPr>
          <w:sz w:val="26"/>
          <w:szCs w:val="26"/>
        </w:rPr>
        <w:t>В результате розничный товарооборот в прогнозный период до 202</w:t>
      </w:r>
      <w:r w:rsidR="00944B98" w:rsidRPr="00FC6E27">
        <w:rPr>
          <w:sz w:val="26"/>
          <w:szCs w:val="26"/>
        </w:rPr>
        <w:t>1</w:t>
      </w:r>
      <w:r w:rsidRPr="00FC6E27">
        <w:rPr>
          <w:sz w:val="26"/>
          <w:szCs w:val="26"/>
        </w:rPr>
        <w:t xml:space="preserve"> года будет демонстрировать положительную динамику. </w:t>
      </w:r>
    </w:p>
    <w:p w:rsidR="001308B7" w:rsidRPr="00FC6E27" w:rsidRDefault="001308B7" w:rsidP="001308B7">
      <w:pPr>
        <w:spacing w:line="288" w:lineRule="auto"/>
        <w:ind w:firstLine="720"/>
        <w:jc w:val="both"/>
        <w:rPr>
          <w:sz w:val="26"/>
          <w:szCs w:val="26"/>
        </w:rPr>
      </w:pPr>
      <w:r w:rsidRPr="00FC6E27">
        <w:rPr>
          <w:sz w:val="26"/>
          <w:szCs w:val="26"/>
        </w:rPr>
        <w:t xml:space="preserve">Торговые сети относятся к современным форматам торговли, оказывающим положительное влияние на развитие экономики региона при условии обеспечения нормальных условий развития для несетевых торговых форматов. </w:t>
      </w:r>
      <w:r w:rsidRPr="00FC6E27">
        <w:rPr>
          <w:sz w:val="26"/>
          <w:szCs w:val="26"/>
        </w:rPr>
        <w:br/>
        <w:t>Они способствуют привлечению инвестиций, и сами являются важными инвесторами в экономику области. Торговые сети создают новые рабочие места, предлагают своим покупателям широкий ассортимент товаров и являются крупными налогоплательщиками.</w:t>
      </w:r>
    </w:p>
    <w:p w:rsidR="00294574" w:rsidRPr="00FC6E27" w:rsidRDefault="00294574" w:rsidP="00294574">
      <w:pPr>
        <w:spacing w:line="288" w:lineRule="auto"/>
        <w:ind w:firstLine="720"/>
        <w:jc w:val="both"/>
        <w:rPr>
          <w:rStyle w:val="FontStyle13"/>
        </w:rPr>
      </w:pPr>
      <w:r w:rsidRPr="00FC6E27">
        <w:rPr>
          <w:rStyle w:val="FontStyle13"/>
        </w:rPr>
        <w:t xml:space="preserve">Оборот общественного питания </w:t>
      </w:r>
      <w:r w:rsidR="00944B98" w:rsidRPr="00FC6E27">
        <w:rPr>
          <w:sz w:val="26"/>
          <w:szCs w:val="26"/>
        </w:rPr>
        <w:t>в 2017 году</w:t>
      </w:r>
      <w:r w:rsidR="00944B98" w:rsidRPr="00FC6E27">
        <w:rPr>
          <w:rStyle w:val="FontStyle13"/>
        </w:rPr>
        <w:t xml:space="preserve"> </w:t>
      </w:r>
      <w:r w:rsidRPr="00FC6E27">
        <w:rPr>
          <w:rStyle w:val="FontStyle13"/>
        </w:rPr>
        <w:t>увеличился по сравнению с 201</w:t>
      </w:r>
      <w:r w:rsidR="00944B98" w:rsidRPr="00FC6E27">
        <w:rPr>
          <w:rStyle w:val="FontStyle13"/>
        </w:rPr>
        <w:t xml:space="preserve">6 годом </w:t>
      </w:r>
      <w:r w:rsidRPr="00FC6E27">
        <w:rPr>
          <w:rStyle w:val="FontStyle13"/>
        </w:rPr>
        <w:t xml:space="preserve">на </w:t>
      </w:r>
      <w:r w:rsidR="00944B98" w:rsidRPr="00FC6E27">
        <w:rPr>
          <w:rStyle w:val="FontStyle13"/>
        </w:rPr>
        <w:t>7,1</w:t>
      </w:r>
      <w:r w:rsidRPr="00FC6E27">
        <w:rPr>
          <w:rStyle w:val="FontStyle13"/>
        </w:rPr>
        <w:t xml:space="preserve">% составил </w:t>
      </w:r>
      <w:r w:rsidR="00944B98" w:rsidRPr="00FC6E27">
        <w:rPr>
          <w:rStyle w:val="FontStyle13"/>
        </w:rPr>
        <w:t>13,2</w:t>
      </w:r>
      <w:r w:rsidRPr="00FC6E27">
        <w:rPr>
          <w:rStyle w:val="FontStyle13"/>
        </w:rPr>
        <w:t xml:space="preserve"> млрд. рублей.</w:t>
      </w:r>
    </w:p>
    <w:p w:rsidR="001308B7" w:rsidRPr="00FC6E27" w:rsidRDefault="001308B7" w:rsidP="001308B7">
      <w:pPr>
        <w:spacing w:line="288" w:lineRule="auto"/>
        <w:ind w:firstLine="720"/>
        <w:jc w:val="both"/>
        <w:rPr>
          <w:rStyle w:val="FontStyle13"/>
        </w:rPr>
      </w:pPr>
      <w:r w:rsidRPr="00FC6E27">
        <w:rPr>
          <w:rStyle w:val="FontStyle13"/>
        </w:rPr>
        <w:t xml:space="preserve">Основными направлениями развития общественного питания в области являются дальнейшее развитие общедоступной сети предприятий общественного </w:t>
      </w:r>
      <w:r w:rsidRPr="00FC6E27">
        <w:rPr>
          <w:rStyle w:val="FontStyle13"/>
        </w:rPr>
        <w:lastRenderedPageBreak/>
        <w:t xml:space="preserve">питания; развитие сети общественного питания в зонах комплексного торгового, гостиничного обслуживания, на вокзалах, заправочных станциях; расширение сети социально ориентированных предприятий, стимулирование развития сети организаций общественного питания, применяющих индустриальные методы приготовления пищи и доставляющих ее по заказам потребителей. </w:t>
      </w:r>
    </w:p>
    <w:p w:rsidR="0020073A" w:rsidRPr="008013B9" w:rsidRDefault="005B50C7" w:rsidP="00252AA1">
      <w:pPr>
        <w:pStyle w:val="1"/>
        <w:spacing w:before="120" w:after="0"/>
        <w:rPr>
          <w:szCs w:val="26"/>
        </w:rPr>
      </w:pPr>
      <w:r w:rsidRPr="008013B9">
        <w:rPr>
          <w:szCs w:val="26"/>
        </w:rPr>
        <w:t>Малое предпринимательство</w:t>
      </w:r>
      <w:r w:rsidR="008C0FF0" w:rsidRPr="008013B9">
        <w:rPr>
          <w:szCs w:val="26"/>
        </w:rPr>
        <w:t>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При формировании оценочных показателей учитывалась динамика роста (падения) показателей за последние годы, а также удельный вес отраслей</w:t>
      </w:r>
      <w:r w:rsidRPr="008013B9">
        <w:rPr>
          <w:sz w:val="26"/>
          <w:szCs w:val="26"/>
        </w:rPr>
        <w:br/>
        <w:t>в количестве предприятий среднесписочной численности. Оборот предприятий рассчитывался с учетом индексов-дефляторов, предоставленных для расчета консервативного, базового и целевого вариантов прогноза.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Прогнозирование основных параметров развития малого и среднего предпринимательства (далее – МСП) в Архангельской области на 2019 – 2021 годы осуществлялось исходя из того, что в течение продолжительного периода структура субъектов МСП по видам экономической деятельности в течение ряда лет остается практически неизменной. Так, доля субъектов малого и среднего бизнеса, работающих в сфере оптовой и розничной торговли; ремонта автотранспортных средств, мотоциклов, бытовых изделий и предметов личного пользования, составляет 29,2 процента, предприятий обрабатывающих производств – </w:t>
      </w:r>
      <w:r w:rsidRPr="008013B9">
        <w:rPr>
          <w:sz w:val="26"/>
          <w:szCs w:val="26"/>
        </w:rPr>
        <w:br/>
        <w:t>12,4 процента, предприятий строительной сферы – 10,5 процентов. Таким образом, в существующей структуре МСП Архангельской области доминирующее место принадлежит торговому сектору, а вклад производственных компаний невысок.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Оценочный показатель 2018 года в представленном прогнозе указан</w:t>
      </w:r>
      <w:r w:rsidRPr="008013B9">
        <w:rPr>
          <w:sz w:val="26"/>
          <w:szCs w:val="26"/>
        </w:rPr>
        <w:br/>
        <w:t>с учетом внесенных изменений в Федеральный закон от 24 июля 2007 года</w:t>
      </w:r>
      <w:r w:rsidRPr="008013B9">
        <w:rPr>
          <w:sz w:val="26"/>
          <w:szCs w:val="26"/>
        </w:rPr>
        <w:br/>
        <w:t>№ 209-ФЗ «О развитии малого и среднего предпринимательства в Российской Федерации» (далее – Закон). Изменениями, вступившими в силу с 03.07.2018 года, определено, что для средних предприятий, которые осуществляют в качестве основного вида деятельности предпринимательскую деятельность в сфере легкой промышленности, предельное значение среднесписочной численности работников может быть установлено выше предельных значений, установленных Законом.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Прогнозом предусматривается положительная динамика в развитии МСП </w:t>
      </w:r>
      <w:r w:rsidRPr="008013B9">
        <w:rPr>
          <w:sz w:val="26"/>
          <w:szCs w:val="26"/>
        </w:rPr>
        <w:br/>
        <w:t>на территории Архангельской области, что обусловлено как региональной политикой в отношении предпринимательства, так и мерами, осуществляемыми</w:t>
      </w:r>
      <w:r w:rsidRPr="008013B9">
        <w:rPr>
          <w:sz w:val="26"/>
          <w:szCs w:val="26"/>
        </w:rPr>
        <w:br/>
        <w:t xml:space="preserve">на уровне Российской Федерации. 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По информации Единого реестра субъектов МСП Федеральной налоговой службы России на территории Архангельской области по состоянию </w:t>
      </w:r>
      <w:r w:rsidRPr="008013B9">
        <w:rPr>
          <w:sz w:val="26"/>
          <w:szCs w:val="26"/>
        </w:rPr>
        <w:br/>
        <w:t>на 10.07.2018 учтено: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юридических лиц и индивидуальных предпринимателей, сведения о которых содержатся в Едином реестре субъектов малого и среднего предпринимательства (далее – субъекты МСП) – 39 403 единицы, в том числе: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lastRenderedPageBreak/>
        <w:t>количество индивидуальных предпринимателей – 24 958 единиц;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количество юридических лиц – 14 445 единиц, из них: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количество </w:t>
      </w:r>
      <w:proofErr w:type="spellStart"/>
      <w:r w:rsidRPr="008013B9">
        <w:rPr>
          <w:sz w:val="26"/>
          <w:szCs w:val="26"/>
        </w:rPr>
        <w:t>микропредприятий</w:t>
      </w:r>
      <w:proofErr w:type="spellEnd"/>
      <w:r w:rsidRPr="008013B9">
        <w:rPr>
          <w:sz w:val="26"/>
          <w:szCs w:val="26"/>
        </w:rPr>
        <w:t xml:space="preserve"> – 12 966 единиц;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количество малых предприятий – 1 391 единиц; 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количество средних предприятий – 88 единиц.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По состоянию на 10.01.2018 по данным Единого реестра субъектов МСП</w:t>
      </w:r>
      <w:r w:rsidRPr="008013B9">
        <w:rPr>
          <w:sz w:val="26"/>
          <w:szCs w:val="26"/>
        </w:rPr>
        <w:br/>
        <w:t xml:space="preserve">в Архангельской области осуществляли деятельность 39 427 субъектов МСП. Таким образом, за январь – июль 2018 года количество субъектов МСП сократилось незначительно, всего на 24 единицы, или 0,06 процента. С учетом вышесказанного следует предположить, что сокращения количества субъектов МСП не ожидается.  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Сумма среднесписочной численности работников (по данным Единого реестра субъектов малого и среднего предпринимательства) по состоянию</w:t>
      </w:r>
      <w:r w:rsidRPr="008013B9">
        <w:rPr>
          <w:sz w:val="26"/>
          <w:szCs w:val="26"/>
        </w:rPr>
        <w:br/>
        <w:t>на 10.07.2018 составила 110,8 тысяч человек (с учетом индивидуальных предпринимателей), 83,0 тыс. человек – без учета индивидуальных предпринимателей.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В настоящее время происходит совершенствование государственной поддержки предпринимательства в Российской Федерации. Минэкономразвития России сосредоточено на выводе системы государственной поддержки малого</w:t>
      </w:r>
      <w:r w:rsidRPr="008013B9">
        <w:rPr>
          <w:sz w:val="26"/>
          <w:szCs w:val="26"/>
        </w:rPr>
        <w:br/>
        <w:t xml:space="preserve">и среднего предпринимательства на новый уровень за счет развития ее сервисной составляющей. Предприниматель вне зависимости от региона имеет право </w:t>
      </w:r>
      <w:r w:rsidRPr="008013B9">
        <w:rPr>
          <w:sz w:val="26"/>
          <w:szCs w:val="26"/>
        </w:rPr>
        <w:br/>
        <w:t>на получение базового набора услуг. Развивается разветвленная сеть объектов инфраструктуры, в арсенале которой широкий инструментарий для содействия развитию бизнеса на разных стадиях жизненного цикла компании.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Следующим шагом станет повышение качества обслуживания, внедрение </w:t>
      </w:r>
      <w:proofErr w:type="spellStart"/>
      <w:r w:rsidRPr="008013B9">
        <w:rPr>
          <w:sz w:val="26"/>
          <w:szCs w:val="26"/>
        </w:rPr>
        <w:t>клиентоориентированного</w:t>
      </w:r>
      <w:proofErr w:type="spellEnd"/>
      <w:r w:rsidRPr="008013B9">
        <w:rPr>
          <w:sz w:val="26"/>
          <w:szCs w:val="26"/>
        </w:rPr>
        <w:t xml:space="preserve"> подхода. Это ключевые задачи инфраструктуры поддержки на современном этапе ее развития.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Исходя из опыта проводимых ежегодно мероприятий государственной поддержки можно сделать вывод, что помощь, предоставляемая организациями инфраструктуры поддержки малого и среднего предпринимательства, а именно нефинансовые меры и возвратное финансирование - позволяют субъектам предпринимательства более тщательно и ответственно походить к планированию своей деятельности.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Поэтому в Архангельской области с 2017 года основной акцент сделан</w:t>
      </w:r>
      <w:r w:rsidRPr="008013B9">
        <w:rPr>
          <w:sz w:val="26"/>
          <w:szCs w:val="26"/>
        </w:rPr>
        <w:br/>
        <w:t xml:space="preserve">на развитии организаций инфраструктуры, что позволит расширить механизм возвратного финансирования и обеспечить реализацию образовательных проектов в сфере обучения граждан и начинающих предпринимателей основам предпринимательской деятельности. 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Серьезные шаги в этом направлении уже сделаны: за 2016 – 2018 год более чем на 98,7 млн. рублей </w:t>
      </w:r>
      <w:proofErr w:type="spellStart"/>
      <w:r w:rsidRPr="008013B9">
        <w:rPr>
          <w:sz w:val="26"/>
          <w:szCs w:val="26"/>
        </w:rPr>
        <w:t>докапитализирована</w:t>
      </w:r>
      <w:proofErr w:type="spellEnd"/>
      <w:r w:rsidRPr="008013B9">
        <w:rPr>
          <w:sz w:val="26"/>
          <w:szCs w:val="26"/>
        </w:rPr>
        <w:t xml:space="preserve"> </w:t>
      </w:r>
      <w:proofErr w:type="spellStart"/>
      <w:r w:rsidRPr="008013B9">
        <w:rPr>
          <w:sz w:val="26"/>
          <w:szCs w:val="26"/>
        </w:rPr>
        <w:t>Микрокредитная</w:t>
      </w:r>
      <w:proofErr w:type="spellEnd"/>
      <w:r w:rsidRPr="008013B9">
        <w:rPr>
          <w:sz w:val="26"/>
          <w:szCs w:val="26"/>
        </w:rPr>
        <w:t xml:space="preserve"> компания </w:t>
      </w:r>
      <w:r w:rsidRPr="008013B9">
        <w:rPr>
          <w:sz w:val="26"/>
          <w:szCs w:val="26"/>
        </w:rPr>
        <w:lastRenderedPageBreak/>
        <w:t>Архангельский региональный фонд «Развитие» (далее – Фонд), на сегодняшний день размер портфеля Фонда составляет порядка 261,7 млн. рублей.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bCs/>
          <w:color w:val="000000"/>
          <w:sz w:val="26"/>
          <w:szCs w:val="26"/>
        </w:rPr>
      </w:pPr>
      <w:r w:rsidRPr="008013B9">
        <w:rPr>
          <w:sz w:val="26"/>
          <w:szCs w:val="26"/>
        </w:rPr>
        <w:t xml:space="preserve">Субъекты малого и среднего предпринимательства могут получить </w:t>
      </w:r>
      <w:proofErr w:type="spellStart"/>
      <w:r w:rsidRPr="008013B9">
        <w:rPr>
          <w:sz w:val="26"/>
          <w:szCs w:val="26"/>
        </w:rPr>
        <w:t>микрозайм</w:t>
      </w:r>
      <w:proofErr w:type="spellEnd"/>
      <w:r w:rsidRPr="008013B9">
        <w:rPr>
          <w:sz w:val="26"/>
          <w:szCs w:val="26"/>
        </w:rPr>
        <w:t xml:space="preserve"> в Фонде </w:t>
      </w:r>
      <w:proofErr w:type="spellStart"/>
      <w:r w:rsidRPr="008013B9">
        <w:rPr>
          <w:bCs/>
          <w:color w:val="000000"/>
          <w:sz w:val="26"/>
          <w:szCs w:val="26"/>
        </w:rPr>
        <w:t>микрозаймы</w:t>
      </w:r>
      <w:proofErr w:type="spellEnd"/>
      <w:r w:rsidRPr="008013B9">
        <w:rPr>
          <w:bCs/>
          <w:color w:val="000000"/>
          <w:sz w:val="26"/>
          <w:szCs w:val="26"/>
        </w:rPr>
        <w:t xml:space="preserve"> в размере до 3 миллионов рублей на срок </w:t>
      </w:r>
      <w:r w:rsidRPr="008013B9">
        <w:rPr>
          <w:bCs/>
          <w:color w:val="000000"/>
          <w:sz w:val="26"/>
          <w:szCs w:val="26"/>
        </w:rPr>
        <w:br/>
        <w:t xml:space="preserve">до 3-х лет. </w:t>
      </w:r>
      <w:r w:rsidRPr="008013B9">
        <w:rPr>
          <w:sz w:val="26"/>
          <w:szCs w:val="26"/>
        </w:rPr>
        <w:t>Годовая процентная ставка по займу от 6,75 до 7,25 процентов годовых</w:t>
      </w:r>
      <w:r w:rsidRPr="008013B9">
        <w:rPr>
          <w:sz w:val="26"/>
          <w:szCs w:val="26"/>
        </w:rPr>
        <w:br/>
        <w:t>в зависимости от категории займа и категории субъектов малого и среднего предпринимательства</w:t>
      </w:r>
      <w:r w:rsidRPr="008013B9">
        <w:rPr>
          <w:bCs/>
          <w:color w:val="000000"/>
          <w:sz w:val="26"/>
          <w:szCs w:val="26"/>
        </w:rPr>
        <w:t>, что значительно ниже предложений коммерческих банков.</w:t>
      </w:r>
    </w:p>
    <w:p w:rsidR="00024F11" w:rsidRPr="008013B9" w:rsidRDefault="00024F11" w:rsidP="00024F11">
      <w:pPr>
        <w:spacing w:line="276" w:lineRule="auto"/>
        <w:ind w:firstLine="709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 Государственное автономное учреждение Архангельской области «Дом предпринимателя» предоставляет субъектам малого и среднего предпринимательства помещения в аренду по льготным ставкам, консультационную и информационную поддержку, а также помощь в написании бизнес-плана для получения кредита в банке. </w:t>
      </w:r>
    </w:p>
    <w:p w:rsidR="00024F11" w:rsidRPr="008013B9" w:rsidRDefault="00024F11" w:rsidP="00024F11">
      <w:pPr>
        <w:spacing w:line="276" w:lineRule="auto"/>
        <w:ind w:firstLine="709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В 2018 году в ГАУ АО «Дом предпринимателя» входят следующие структурные подразделения: бизнес-инкубатор, центр поддержки предпринимательства, центр кластерного развития, центр поддержки экспорта, экспертно-аналитический отдел.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 В целях повышения качества оказываемых услуг сотрудники центра ежегодно проходят обучение по подготовке тренеров программ обучения «Азбука предпринимателя» и «Школа предпринимательства», организатором которого является АО «Корпорация «МСП». 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Гарантийный фонд Архангельской области -  ГУП АО «Инвестиционная компания «Архангельск» - предоставляет субъектам малого и среднего предпринимательства поручительства перед кредитными организациями </w:t>
      </w:r>
      <w:r w:rsidRPr="008013B9">
        <w:rPr>
          <w:sz w:val="26"/>
          <w:szCs w:val="26"/>
        </w:rPr>
        <w:br/>
        <w:t xml:space="preserve">по обязательствам в случае отсутствия достаточного собственного залогового имущества для получения кредита в одной из российских кредитных организаций. Размер предоставляемого поручительства - до 70% от суммы необходимого залогового обеспечения, срок поручительства и кредита не ограничен. </w:t>
      </w:r>
    </w:p>
    <w:p w:rsidR="00024F11" w:rsidRPr="008013B9" w:rsidRDefault="00024F11" w:rsidP="00024F11">
      <w:pPr>
        <w:pStyle w:val="af1"/>
        <w:tabs>
          <w:tab w:val="left" w:pos="993"/>
        </w:tabs>
        <w:ind w:left="0" w:firstLine="709"/>
        <w:jc w:val="both"/>
        <w:rPr>
          <w:rFonts w:eastAsia="Courier New" w:cstheme="minorBidi"/>
          <w:color w:val="000000"/>
          <w:sz w:val="26"/>
          <w:szCs w:val="26"/>
        </w:rPr>
      </w:pPr>
      <w:r w:rsidRPr="008013B9">
        <w:rPr>
          <w:bCs/>
          <w:color w:val="000000"/>
          <w:sz w:val="26"/>
          <w:szCs w:val="26"/>
        </w:rPr>
        <w:t>Государственное унитарное предприятие Архангельской области «Инвестиционная компания «Архангельск» предоставляет поручительства</w:t>
      </w:r>
      <w:r w:rsidRPr="008013B9">
        <w:rPr>
          <w:bCs/>
          <w:color w:val="000000"/>
          <w:sz w:val="26"/>
          <w:szCs w:val="26"/>
        </w:rPr>
        <w:br/>
        <w:t xml:space="preserve">в размере до 25 млн. рублей (по одной сделке) и до </w:t>
      </w:r>
      <w:r w:rsidRPr="008013B9">
        <w:rPr>
          <w:sz w:val="26"/>
          <w:szCs w:val="26"/>
        </w:rPr>
        <w:t xml:space="preserve">50,58 млн. рублей </w:t>
      </w:r>
      <w:r w:rsidRPr="008013B9">
        <w:rPr>
          <w:sz w:val="26"/>
          <w:szCs w:val="26"/>
        </w:rPr>
        <w:br/>
        <w:t>(по нескольким договорам)</w:t>
      </w:r>
      <w:r w:rsidRPr="008013B9">
        <w:rPr>
          <w:bCs/>
          <w:color w:val="000000"/>
          <w:sz w:val="26"/>
          <w:szCs w:val="26"/>
        </w:rPr>
        <w:t xml:space="preserve">, в том числе для получения </w:t>
      </w:r>
      <w:proofErr w:type="spellStart"/>
      <w:r w:rsidRPr="008013B9">
        <w:rPr>
          <w:bCs/>
          <w:color w:val="000000"/>
          <w:sz w:val="26"/>
          <w:szCs w:val="26"/>
        </w:rPr>
        <w:t>микрозайма</w:t>
      </w:r>
      <w:proofErr w:type="spellEnd"/>
      <w:r w:rsidRPr="008013B9">
        <w:rPr>
          <w:bCs/>
          <w:color w:val="000000"/>
          <w:sz w:val="26"/>
          <w:szCs w:val="26"/>
        </w:rPr>
        <w:br/>
        <w:t xml:space="preserve">в </w:t>
      </w:r>
      <w:proofErr w:type="spellStart"/>
      <w:r w:rsidRPr="008013B9">
        <w:rPr>
          <w:bCs/>
          <w:color w:val="000000"/>
          <w:sz w:val="26"/>
          <w:szCs w:val="26"/>
        </w:rPr>
        <w:t>Микрокредитной</w:t>
      </w:r>
      <w:proofErr w:type="spellEnd"/>
      <w:r w:rsidRPr="008013B9">
        <w:rPr>
          <w:bCs/>
          <w:color w:val="000000"/>
          <w:sz w:val="26"/>
          <w:szCs w:val="26"/>
        </w:rPr>
        <w:t xml:space="preserve"> компании </w:t>
      </w:r>
      <w:r w:rsidRPr="008013B9">
        <w:rPr>
          <w:rFonts w:eastAsia="Courier New" w:cstheme="minorBidi"/>
          <w:color w:val="000000"/>
          <w:sz w:val="26"/>
          <w:szCs w:val="26"/>
        </w:rPr>
        <w:t>Архангельский региональный фонд «Развитие».</w:t>
      </w:r>
    </w:p>
    <w:p w:rsidR="00024F11" w:rsidRPr="008013B9" w:rsidRDefault="00024F11" w:rsidP="00024F11">
      <w:pPr>
        <w:spacing w:line="276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Акционерное общество «Корпорация развития Архангельской области» (далее – Корпорация)  осуществляет полное сопровождение инвестиционных проектов и взаимодействие инициаторов проектов с институтами развития </w:t>
      </w:r>
      <w:r w:rsidRPr="008013B9">
        <w:rPr>
          <w:sz w:val="26"/>
          <w:szCs w:val="26"/>
        </w:rPr>
        <w:br/>
        <w:t xml:space="preserve">и поддержки предпринимательства. 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Основная задача Корпорации - создание максимально комфортных условий для старта и ведения бизнеса, формирование профессиональной </w:t>
      </w:r>
      <w:r w:rsidRPr="008013B9">
        <w:rPr>
          <w:sz w:val="26"/>
          <w:szCs w:val="26"/>
        </w:rPr>
        <w:br/>
        <w:t>и целеустремленной команды для реализации различных проектов и инициатив.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Рост показателей развития предпринимательства в Архангельской области планируется на основе следующих данных.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Планируется повышение доступности банковского кредитования, снижение ставок по кредитам и развитие новых продуктов финансовой поддержки (в том </w:t>
      </w:r>
      <w:r w:rsidRPr="008013B9">
        <w:rPr>
          <w:sz w:val="26"/>
          <w:szCs w:val="26"/>
        </w:rPr>
        <w:lastRenderedPageBreak/>
        <w:t xml:space="preserve">числе, «Программа 6,5», гарантийная поддержка Корпорации МСП и региональных гарантийных фондов). В настоящее время внимание сфокусировано на создании </w:t>
      </w:r>
      <w:r w:rsidRPr="008013B9">
        <w:rPr>
          <w:sz w:val="26"/>
          <w:szCs w:val="26"/>
        </w:rPr>
        <w:br/>
        <w:t>и развитии организаций инфраструктуры поддержки МСП и формировании сервисной модели поддержки МСП для обеспечения доступности базового перечня услуг для предпринимателей, осуществляющих свою деятельность во всех</w:t>
      </w:r>
      <w:r w:rsidRPr="008013B9">
        <w:rPr>
          <w:sz w:val="26"/>
          <w:szCs w:val="26"/>
        </w:rPr>
        <w:br/>
        <w:t>85 субъектах России (МФЦ для бизнеса).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На территории Архангельской области реализуется проект «Формирование сервисной модели поддержки малого и среднего предпринимательства</w:t>
      </w:r>
      <w:r w:rsidRPr="008013B9">
        <w:rPr>
          <w:sz w:val="26"/>
          <w:szCs w:val="26"/>
        </w:rPr>
        <w:br/>
        <w:t xml:space="preserve">в Архангельской области 2018-2020 годы», который позволит увеличить долю субъектов МСП нашего региона и реализацию сервисной модели, внедряемой Минэкономразвития России.   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В рамках приоритетного проекта по основному направлению стратегического развития «Малый бизнес и поддержка индивидуальной предпринимательской инициативы» предусмотрено дальнейшее развитие практики предоставления услуг бизнесу по принципу «одного окна».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На основании постановления Правительства Архангельской области от 30 января 2018 года № 24-пп «О создании на территории Архангельской области ЦОУ для бизнеса» в июне 2018 года начал свою деятельность ЦОУ на базе Архангельского регионального филиала АО «</w:t>
      </w:r>
      <w:proofErr w:type="spellStart"/>
      <w:r w:rsidRPr="008013B9">
        <w:rPr>
          <w:sz w:val="26"/>
          <w:szCs w:val="26"/>
        </w:rPr>
        <w:t>Россельхозбанк</w:t>
      </w:r>
      <w:proofErr w:type="spellEnd"/>
      <w:r w:rsidRPr="008013B9">
        <w:rPr>
          <w:sz w:val="26"/>
          <w:szCs w:val="26"/>
        </w:rPr>
        <w:t>».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Во исполнение указа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 (далее – Указ) на федеральном уровне разрабатывается новый </w:t>
      </w:r>
      <w:r w:rsidRPr="008013B9">
        <w:rPr>
          <w:bCs/>
          <w:sz w:val="26"/>
          <w:szCs w:val="26"/>
        </w:rPr>
        <w:t>паспорт национального проекта по направлению «Малое</w:t>
      </w:r>
      <w:r w:rsidRPr="008013B9">
        <w:rPr>
          <w:bCs/>
          <w:sz w:val="26"/>
          <w:szCs w:val="26"/>
        </w:rPr>
        <w:br/>
        <w:t>и среднее предпринимательство и поддержка индивидуальной предпринимательской инициативы», который позволит достичь национальных целей и решить стратегические задачи по реализации Указа на территории Архангельской области.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На федеральном уровне за последние годы приняты решения, направленные на кардинальное улучшение условий деятельности для малых и средних предприятий –  повышен порог дохода по упрощенной системе налогообложения до 150 млн. рублей, продлено действие единого налога на вмененный доход, обеспечена замена штрафа предупреждением за первое правонарушение, упрощено кадровое делопроизводство для </w:t>
      </w:r>
      <w:proofErr w:type="spellStart"/>
      <w:r w:rsidRPr="008013B9">
        <w:rPr>
          <w:sz w:val="26"/>
          <w:szCs w:val="26"/>
        </w:rPr>
        <w:t>микропредприятий</w:t>
      </w:r>
      <w:proofErr w:type="spellEnd"/>
      <w:r w:rsidRPr="008013B9">
        <w:rPr>
          <w:sz w:val="26"/>
          <w:szCs w:val="26"/>
        </w:rPr>
        <w:t>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Одной из значимых форм поддержки субъектов МСП является расширение доступа к закупкам крупнейших заказчиков, осуществляющий закупочную деятельность в соответствии с федеральным законом от 18 июля 2011 года </w:t>
      </w:r>
      <w:r w:rsidRPr="008013B9">
        <w:rPr>
          <w:sz w:val="26"/>
          <w:szCs w:val="26"/>
        </w:rPr>
        <w:br/>
        <w:t>№ 223-ФЗ «О закупках товаров, работ, услуг отдельными видами юридических лиц».</w:t>
      </w:r>
    </w:p>
    <w:p w:rsidR="00024F11" w:rsidRPr="008013B9" w:rsidRDefault="00024F11" w:rsidP="00024F11">
      <w:pPr>
        <w:spacing w:line="276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В 2017 году, по данным АО «Корпорации МСП», объем закупок госкомпаний у субъектов МСП достиг 2,098 трлн. рублей, что на 40 процентов выше значения 2016 года (1,5 трлн. рублей). Расширение перечня крупнейших заказчиков дополнительно увеличит этот объем на 300-400 млрд. рублей.</w:t>
      </w:r>
    </w:p>
    <w:p w:rsidR="00024F11" w:rsidRPr="008013B9" w:rsidRDefault="00024F11" w:rsidP="00024F11">
      <w:pPr>
        <w:spacing w:line="276" w:lineRule="auto"/>
        <w:ind w:firstLine="709"/>
        <w:jc w:val="both"/>
        <w:rPr>
          <w:sz w:val="26"/>
          <w:szCs w:val="26"/>
        </w:rPr>
      </w:pPr>
      <w:r w:rsidRPr="008013B9">
        <w:rPr>
          <w:sz w:val="26"/>
          <w:szCs w:val="26"/>
        </w:rPr>
        <w:lastRenderedPageBreak/>
        <w:t xml:space="preserve">В 2018 году снижено пороговое значение крупных договоров в 2,7 раза </w:t>
      </w:r>
      <w:r w:rsidRPr="008013B9">
        <w:rPr>
          <w:sz w:val="26"/>
          <w:szCs w:val="26"/>
        </w:rPr>
        <w:br/>
        <w:t>до 1,5 млрд. рублей с достижением доли таких договоров в размере не более 15 %. Указанное снижение цены договоров, заключаемых по результатам закупок, будет способствовать увеличению количества поставщиков среди субъектов МСП.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Подписано постановление «О внесении изменений в некоторые законодательные акты Российской Федерации», направленное на расширение перечня крупнейших заказчиков для увеличения объёма закупок отдельными видами юридических лиц у субъектов малого и среднего предпринимательства.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В частности, изменены критерии отнесения организаций к конкретным заказчикам регионального уровня – годовой объём выручки (величины активов) уменьшен с 2 млрд. рублей до 500 млн. рублей.</w:t>
      </w:r>
    </w:p>
    <w:p w:rsidR="005B50C7" w:rsidRPr="008013B9" w:rsidRDefault="005B50C7" w:rsidP="00252AA1">
      <w:pPr>
        <w:pStyle w:val="1"/>
        <w:spacing w:before="120" w:after="0"/>
        <w:rPr>
          <w:szCs w:val="26"/>
        </w:rPr>
      </w:pPr>
      <w:r w:rsidRPr="008013B9">
        <w:rPr>
          <w:szCs w:val="26"/>
        </w:rPr>
        <w:t>Инвестиции</w:t>
      </w:r>
      <w:r w:rsidR="008C0FF0" w:rsidRPr="008013B9">
        <w:rPr>
          <w:szCs w:val="26"/>
        </w:rPr>
        <w:t>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Объем инвестиций в основной капитал </w:t>
      </w:r>
      <w:bookmarkStart w:id="1" w:name="OLE_LINK1"/>
      <w:r w:rsidRPr="008013B9">
        <w:rPr>
          <w:sz w:val="26"/>
          <w:szCs w:val="26"/>
        </w:rPr>
        <w:t xml:space="preserve">за 2017 год в экономику Архангельской области составил 103,5 млрд. рублей, что на 24,4% </w:t>
      </w:r>
      <w:r w:rsidRPr="008013B9">
        <w:rPr>
          <w:sz w:val="26"/>
          <w:szCs w:val="26"/>
        </w:rPr>
        <w:br/>
        <w:t>в сопоставимых ценах больше чем в 2016 году.</w:t>
      </w:r>
      <w:bookmarkEnd w:id="1"/>
      <w:r w:rsidRPr="008013B9">
        <w:rPr>
          <w:sz w:val="26"/>
          <w:szCs w:val="26"/>
        </w:rPr>
        <w:t xml:space="preserve"> 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 xml:space="preserve">Наибольший удельный вес в общем объеме инвестиций в основной капитал (28%) составили инвестиции в вид экономической деятельности «Транспортировка и хранение», что связано со строительством магистрального газопровода в рамках инвестиционного проекта Газпрома. Инвестиции в обрабатывающие производства составили 23% в общем объеме инвестиций в основной капитал, существенный удельный вес данного сектора экономики во многом обусловлен реализацией проектов по строительству и модернизации мощностей в сфере деревообработки, производства бумаги, реализацией инвестиционных программ </w:t>
      </w:r>
      <w:r w:rsidRPr="008013B9">
        <w:rPr>
          <w:sz w:val="26"/>
          <w:szCs w:val="26"/>
        </w:rPr>
        <w:br/>
        <w:t>в машиностроительном комплексе.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Кроме того, значительный удельный вес приходится на вид экономической деятельности «Государственное управление и обеспечение военной безопасности; социальное обеспечение» - порядка 20%.</w:t>
      </w:r>
    </w:p>
    <w:p w:rsidR="00024F11" w:rsidRPr="008013B9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8013B9">
        <w:rPr>
          <w:sz w:val="26"/>
          <w:szCs w:val="26"/>
        </w:rPr>
        <w:t>Основными источниками финансирования инвестиций в отчетном периоде стали собственные средства предприятий (39,0%) и бюджетные средства (31,3%).</w:t>
      </w:r>
    </w:p>
    <w:p w:rsidR="00024F11" w:rsidRPr="00E65E2A" w:rsidRDefault="00024F11" w:rsidP="008013B9">
      <w:pPr>
        <w:spacing w:before="120"/>
        <w:ind w:firstLine="720"/>
        <w:jc w:val="both"/>
        <w:rPr>
          <w:b/>
          <w:sz w:val="26"/>
          <w:szCs w:val="26"/>
        </w:rPr>
      </w:pPr>
      <w:r w:rsidRPr="00E65E2A">
        <w:rPr>
          <w:b/>
          <w:sz w:val="26"/>
          <w:szCs w:val="26"/>
        </w:rPr>
        <w:t>Инвестиционные проекты по отраслям.</w:t>
      </w:r>
    </w:p>
    <w:p w:rsidR="00024F11" w:rsidRPr="00E65E2A" w:rsidRDefault="00024F11" w:rsidP="004D4129">
      <w:pPr>
        <w:spacing w:before="120"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Сельское хозяйство и рыболовство.</w:t>
      </w:r>
    </w:p>
    <w:p w:rsidR="00576291" w:rsidRPr="00E65E2A" w:rsidRDefault="00576291" w:rsidP="00576291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Вложение инвестиций в основной капитал планируется осуществлять </w:t>
      </w:r>
      <w:r w:rsidRPr="00E65E2A">
        <w:rPr>
          <w:sz w:val="26"/>
          <w:szCs w:val="26"/>
        </w:rPr>
        <w:br/>
        <w:t xml:space="preserve">по сельскохозяйственным организациям – на строительство, реконструкцию </w:t>
      </w:r>
      <w:r w:rsidRPr="00E65E2A">
        <w:rPr>
          <w:sz w:val="26"/>
          <w:szCs w:val="26"/>
        </w:rPr>
        <w:br/>
        <w:t xml:space="preserve">и модернизацию животноводческих комплексов, приобретение оборудования для животноводческих комплексов, приобретение техники. Проекты будут реализованы за счет собственных средств, полученных субсидируемых кредитов, средств государственной поддержки на возмещение части прямых понесенных затрат </w:t>
      </w:r>
      <w:r w:rsidRPr="00E65E2A">
        <w:rPr>
          <w:sz w:val="26"/>
          <w:szCs w:val="26"/>
        </w:rPr>
        <w:br/>
        <w:t xml:space="preserve">на создание и модернизацию объектов агропромышленного комплекса, а также </w:t>
      </w:r>
      <w:r w:rsidRPr="00E65E2A">
        <w:rPr>
          <w:sz w:val="26"/>
          <w:szCs w:val="26"/>
        </w:rPr>
        <w:br/>
        <w:t xml:space="preserve">на приобретение техники и оборудования. В перерабатывающей промышленности </w:t>
      </w:r>
      <w:r w:rsidRPr="00E65E2A">
        <w:rPr>
          <w:sz w:val="26"/>
          <w:szCs w:val="26"/>
        </w:rPr>
        <w:lastRenderedPageBreak/>
        <w:t>вложение инвестиций будет осуществляться в модернизацию и реконструкцию действующих производств.</w:t>
      </w:r>
    </w:p>
    <w:p w:rsidR="00024F11" w:rsidRPr="00E65E2A" w:rsidRDefault="00024F11" w:rsidP="00024F11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Продолжается реализация проекта АО «Архангельский траловый флот» </w:t>
      </w:r>
      <w:r w:rsidR="00576291" w:rsidRPr="00E65E2A">
        <w:rPr>
          <w:sz w:val="26"/>
          <w:szCs w:val="26"/>
        </w:rPr>
        <w:br/>
      </w:r>
      <w:r w:rsidRPr="00E65E2A">
        <w:rPr>
          <w:sz w:val="26"/>
          <w:szCs w:val="26"/>
        </w:rPr>
        <w:t xml:space="preserve">по строительству и приобретению рыбопромысловых судов общей стоимостью </w:t>
      </w:r>
      <w:r w:rsidR="00576291" w:rsidRPr="00E65E2A">
        <w:rPr>
          <w:sz w:val="26"/>
          <w:szCs w:val="26"/>
        </w:rPr>
        <w:br/>
      </w:r>
      <w:r w:rsidRPr="00E65E2A">
        <w:rPr>
          <w:sz w:val="26"/>
          <w:szCs w:val="26"/>
        </w:rPr>
        <w:t>16</w:t>
      </w:r>
      <w:r w:rsidR="00576291" w:rsidRPr="00E65E2A">
        <w:rPr>
          <w:sz w:val="26"/>
          <w:szCs w:val="26"/>
        </w:rPr>
        <w:t>,1</w:t>
      </w:r>
      <w:r w:rsidRPr="00E65E2A">
        <w:rPr>
          <w:sz w:val="26"/>
          <w:szCs w:val="26"/>
        </w:rPr>
        <w:t xml:space="preserve"> мл</w:t>
      </w:r>
      <w:r w:rsidR="00576291" w:rsidRPr="00E65E2A">
        <w:rPr>
          <w:sz w:val="26"/>
          <w:szCs w:val="26"/>
        </w:rPr>
        <w:t>рд</w:t>
      </w:r>
      <w:r w:rsidRPr="00E65E2A">
        <w:rPr>
          <w:sz w:val="26"/>
          <w:szCs w:val="26"/>
        </w:rPr>
        <w:t xml:space="preserve">. рублей и периодом реализации по 2021 год. </w:t>
      </w:r>
      <w:r w:rsidRPr="00E65E2A">
        <w:rPr>
          <w:sz w:val="26"/>
          <w:szCs w:val="26"/>
        </w:rPr>
        <w:br/>
        <w:t>На Выборгском судостроительном заводе начаты работы по строительству рыбопромысловых судов проекта «ST 116XL». Планируется первые 2 судна ввести в эксплуатацию в 201</w:t>
      </w:r>
      <w:r w:rsidR="00576291" w:rsidRPr="00E65E2A">
        <w:rPr>
          <w:sz w:val="26"/>
          <w:szCs w:val="26"/>
        </w:rPr>
        <w:t xml:space="preserve">9 году, остальные в 2021 году. </w:t>
      </w:r>
      <w:r w:rsidRPr="00E65E2A">
        <w:rPr>
          <w:sz w:val="26"/>
          <w:szCs w:val="26"/>
        </w:rPr>
        <w:t xml:space="preserve">Также предприятием заявлены намерения о реализации инвестиционного проекта по строительству </w:t>
      </w:r>
      <w:proofErr w:type="spellStart"/>
      <w:r w:rsidRPr="00E65E2A">
        <w:rPr>
          <w:sz w:val="26"/>
          <w:szCs w:val="26"/>
        </w:rPr>
        <w:t>рыбоперерабатывающего</w:t>
      </w:r>
      <w:proofErr w:type="spellEnd"/>
      <w:r w:rsidRPr="00E65E2A">
        <w:rPr>
          <w:sz w:val="26"/>
          <w:szCs w:val="26"/>
        </w:rPr>
        <w:t xml:space="preserve"> завода «Архангельский» (переработка трески, пикши </w:t>
      </w:r>
      <w:r w:rsidR="00576291" w:rsidRPr="00E65E2A">
        <w:rPr>
          <w:sz w:val="26"/>
          <w:szCs w:val="26"/>
        </w:rPr>
        <w:br/>
      </w:r>
      <w:r w:rsidRPr="00E65E2A">
        <w:rPr>
          <w:sz w:val="26"/>
          <w:szCs w:val="26"/>
        </w:rPr>
        <w:t>и иных видов рыб большой мощности, суммарной производительностью до 73,718 тонн готовой продукции в сутки), период реализации инвестиционного проекта 2018-2021 годы, общий объем инвестиций 777,4 млн. рублей. В настоящее время проект проходит процедуру получения статуса приоритетного инвестиционного проекта Архангельской области.</w:t>
      </w:r>
    </w:p>
    <w:p w:rsidR="00024F11" w:rsidRPr="00E65E2A" w:rsidRDefault="00024F11" w:rsidP="004D4129">
      <w:pPr>
        <w:spacing w:before="120"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Добыча полезных ископаемых.</w:t>
      </w:r>
    </w:p>
    <w:p w:rsidR="00024F11" w:rsidRPr="00E65E2A" w:rsidRDefault="00024F11" w:rsidP="00576291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Крупные инвестиции в горнодобывающий комплекс Архангельской области планируются при строительстве ГОКа на архипелаге Новая Земля, при освоении Павловского свинцово-цинкового месторождения. На базе запасов Павловского месторождения АО «Первая горнорудная компания» планирует создание экономически эффективного горнодобывающего производственного комплекса </w:t>
      </w:r>
      <w:r w:rsidR="00576291" w:rsidRPr="00E65E2A">
        <w:rPr>
          <w:sz w:val="26"/>
          <w:szCs w:val="26"/>
        </w:rPr>
        <w:br/>
      </w:r>
      <w:r w:rsidRPr="00E65E2A">
        <w:rPr>
          <w:sz w:val="26"/>
          <w:szCs w:val="26"/>
        </w:rPr>
        <w:t xml:space="preserve">для добычи и переработки свинцово-цинковых руд мощностью 3,5 млн. тонн руды в год. В 2016–2019 годах запланированы проектно-изыскательские работы </w:t>
      </w:r>
      <w:r w:rsidR="00576291" w:rsidRPr="00E65E2A">
        <w:rPr>
          <w:sz w:val="26"/>
          <w:szCs w:val="26"/>
        </w:rPr>
        <w:br/>
      </w:r>
      <w:r w:rsidRPr="00E65E2A">
        <w:rPr>
          <w:sz w:val="26"/>
          <w:szCs w:val="26"/>
        </w:rPr>
        <w:t>по созданию инфраструктуры горно-обогатительного комбината и морского терминала, разработка проектно-сметной документации, прохождение госуда</w:t>
      </w:r>
      <w:r w:rsidR="00576291" w:rsidRPr="00E65E2A">
        <w:rPr>
          <w:sz w:val="26"/>
          <w:szCs w:val="26"/>
        </w:rPr>
        <w:t xml:space="preserve">рственной экспертизы. В период </w:t>
      </w:r>
      <w:r w:rsidRPr="00E65E2A">
        <w:rPr>
          <w:sz w:val="26"/>
          <w:szCs w:val="26"/>
        </w:rPr>
        <w:t>с 2019 по 2023 год запланировано строительство самого комбината. Общий объем инвестиций по проекту – 35</w:t>
      </w:r>
      <w:r w:rsidR="00576291" w:rsidRPr="00E65E2A">
        <w:rPr>
          <w:sz w:val="26"/>
          <w:szCs w:val="26"/>
        </w:rPr>
        <w:t xml:space="preserve">,5 млрд. рублей. Объем инвестиций </w:t>
      </w:r>
      <w:r w:rsidRPr="00E65E2A">
        <w:rPr>
          <w:sz w:val="26"/>
          <w:szCs w:val="26"/>
        </w:rPr>
        <w:t>в период с 2018 по 2021 год составит 10</w:t>
      </w:r>
      <w:r w:rsidR="00576291" w:rsidRPr="00E65E2A">
        <w:rPr>
          <w:sz w:val="26"/>
          <w:szCs w:val="26"/>
        </w:rPr>
        <w:t>,1</w:t>
      </w:r>
      <w:r w:rsidRPr="00E65E2A">
        <w:rPr>
          <w:sz w:val="26"/>
          <w:szCs w:val="26"/>
        </w:rPr>
        <w:t xml:space="preserve"> мл</w:t>
      </w:r>
      <w:r w:rsidR="00576291" w:rsidRPr="00E65E2A">
        <w:rPr>
          <w:sz w:val="26"/>
          <w:szCs w:val="26"/>
        </w:rPr>
        <w:t>рд</w:t>
      </w:r>
      <w:r w:rsidRPr="00E65E2A">
        <w:rPr>
          <w:sz w:val="26"/>
          <w:szCs w:val="26"/>
        </w:rPr>
        <w:t>. рублей.</w:t>
      </w:r>
    </w:p>
    <w:p w:rsidR="00024F11" w:rsidRPr="00E65E2A" w:rsidRDefault="00024F11" w:rsidP="00576291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Также продолжается реализация приоритетного инвестиционного проекта ПАО «Севералмаз» по созданию горно-обогатительного комбината </w:t>
      </w:r>
      <w:r w:rsidRPr="00E65E2A">
        <w:rPr>
          <w:sz w:val="26"/>
          <w:szCs w:val="26"/>
        </w:rPr>
        <w:br/>
        <w:t xml:space="preserve">на месторождении алмазов им. М.В. Ломоносова с общим объемом инвестиций </w:t>
      </w:r>
      <w:r w:rsidR="00576291" w:rsidRPr="00E65E2A">
        <w:rPr>
          <w:sz w:val="26"/>
          <w:szCs w:val="26"/>
        </w:rPr>
        <w:br/>
      </w:r>
      <w:r w:rsidRPr="00E65E2A">
        <w:rPr>
          <w:sz w:val="26"/>
          <w:szCs w:val="26"/>
        </w:rPr>
        <w:t>73</w:t>
      </w:r>
      <w:r w:rsidR="00576291" w:rsidRPr="00E65E2A">
        <w:rPr>
          <w:sz w:val="26"/>
          <w:szCs w:val="26"/>
        </w:rPr>
        <w:t>,4</w:t>
      </w:r>
      <w:r w:rsidRPr="00E65E2A">
        <w:rPr>
          <w:sz w:val="26"/>
          <w:szCs w:val="26"/>
        </w:rPr>
        <w:t xml:space="preserve"> мл</w:t>
      </w:r>
      <w:r w:rsidR="00576291" w:rsidRPr="00E65E2A">
        <w:rPr>
          <w:sz w:val="26"/>
          <w:szCs w:val="26"/>
        </w:rPr>
        <w:t>рд</w:t>
      </w:r>
      <w:r w:rsidRPr="00E65E2A">
        <w:rPr>
          <w:sz w:val="26"/>
          <w:szCs w:val="26"/>
        </w:rPr>
        <w:t>. рублей (собственные средства) и периодом реализации 2016-2067 годы. Капитальные вложения в период с 2018 по 2021 год составят 9</w:t>
      </w:r>
      <w:r w:rsidR="00576291" w:rsidRPr="00E65E2A">
        <w:rPr>
          <w:sz w:val="26"/>
          <w:szCs w:val="26"/>
        </w:rPr>
        <w:t>,4</w:t>
      </w:r>
      <w:r w:rsidRPr="00E65E2A">
        <w:rPr>
          <w:sz w:val="26"/>
          <w:szCs w:val="26"/>
        </w:rPr>
        <w:t xml:space="preserve"> мл</w:t>
      </w:r>
      <w:r w:rsidR="00576291" w:rsidRPr="00E65E2A">
        <w:rPr>
          <w:sz w:val="26"/>
          <w:szCs w:val="26"/>
        </w:rPr>
        <w:t>рд</w:t>
      </w:r>
      <w:r w:rsidRPr="00E65E2A">
        <w:rPr>
          <w:sz w:val="26"/>
          <w:szCs w:val="26"/>
        </w:rPr>
        <w:t xml:space="preserve">. рублей.      </w:t>
      </w:r>
    </w:p>
    <w:p w:rsidR="00024F11" w:rsidRPr="00E65E2A" w:rsidRDefault="00024F11" w:rsidP="004D4129">
      <w:pPr>
        <w:spacing w:before="120"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Лесопромышленный комплекс.</w:t>
      </w:r>
    </w:p>
    <w:p w:rsidR="004D4129" w:rsidRPr="00E65E2A" w:rsidRDefault="004D4129" w:rsidP="004D4129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На территории Архангельской области реализуются следующие инвестиционные проекты, включенные в перечень приоритетных инвестиционных проектов в области освоения лесов:</w:t>
      </w:r>
    </w:p>
    <w:p w:rsidR="004D4129" w:rsidRPr="00E65E2A" w:rsidRDefault="004D4129" w:rsidP="004D4129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1. Реконструкция производства картона, инвестор – </w:t>
      </w:r>
      <w:r w:rsidRPr="00E65E2A">
        <w:rPr>
          <w:sz w:val="26"/>
          <w:szCs w:val="26"/>
        </w:rPr>
        <w:br/>
        <w:t xml:space="preserve">ОАО «Архангельский ЦБК», объем инвестиций – 8813,5 млн. рублей, источники </w:t>
      </w:r>
      <w:r w:rsidRPr="00E65E2A">
        <w:rPr>
          <w:sz w:val="26"/>
          <w:szCs w:val="26"/>
        </w:rPr>
        <w:lastRenderedPageBreak/>
        <w:t>финансирования: собственные средства – 35,5%, заемные средства – 64,5%, период реализации 2008-2019 годы.</w:t>
      </w:r>
    </w:p>
    <w:p w:rsidR="004D4129" w:rsidRPr="00E65E2A" w:rsidRDefault="004D4129" w:rsidP="004D4129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2. Организация производства по переработке низкосортной древесины и отходов лесопиления на базе ООО «</w:t>
      </w:r>
      <w:proofErr w:type="spellStart"/>
      <w:r w:rsidRPr="00E65E2A">
        <w:rPr>
          <w:sz w:val="26"/>
          <w:szCs w:val="26"/>
        </w:rPr>
        <w:t>Устьянская</w:t>
      </w:r>
      <w:proofErr w:type="spellEnd"/>
      <w:r w:rsidRPr="00E65E2A">
        <w:rPr>
          <w:sz w:val="26"/>
          <w:szCs w:val="26"/>
        </w:rPr>
        <w:t xml:space="preserve"> лесоперерабатывающая компания», инвестор – ООО «</w:t>
      </w:r>
      <w:proofErr w:type="spellStart"/>
      <w:r w:rsidRPr="00E65E2A">
        <w:rPr>
          <w:sz w:val="26"/>
          <w:szCs w:val="26"/>
        </w:rPr>
        <w:t>Устьянская</w:t>
      </w:r>
      <w:proofErr w:type="spellEnd"/>
      <w:r w:rsidRPr="00E65E2A">
        <w:rPr>
          <w:sz w:val="26"/>
          <w:szCs w:val="26"/>
        </w:rPr>
        <w:t xml:space="preserve"> лесоперерабатывающая компания», объем инвестиций – 8445,5 млн. рублей, источники финансирования: собственные средства – 33%, заемные средства – 67 %, период реализации 2011-2018 годы.</w:t>
      </w:r>
    </w:p>
    <w:p w:rsidR="004D4129" w:rsidRPr="00E65E2A" w:rsidRDefault="004D4129" w:rsidP="004D4129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3. Модернизация производственных мощностей ЗАО «Архангельский фанерный завод», инвестор – ЗАО «Архангельский фанерный завод», объем инвестиций – 1139,5 млн. рублей, источники финансирования: собственные средства – 66 %, заемные средства – 34 %, период реализации 2012-2015 годы.</w:t>
      </w:r>
    </w:p>
    <w:p w:rsidR="004D4129" w:rsidRPr="00E65E2A" w:rsidRDefault="004D4129" w:rsidP="004D4129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4. Модернизация производственных мощностей по переработке пиловочного сырья в </w:t>
      </w:r>
      <w:proofErr w:type="spellStart"/>
      <w:r w:rsidRPr="00E65E2A">
        <w:rPr>
          <w:sz w:val="26"/>
          <w:szCs w:val="26"/>
        </w:rPr>
        <w:t>Маймаксанском</w:t>
      </w:r>
      <w:proofErr w:type="spellEnd"/>
      <w:r w:rsidRPr="00E65E2A">
        <w:rPr>
          <w:sz w:val="26"/>
          <w:szCs w:val="26"/>
        </w:rPr>
        <w:t xml:space="preserve"> округе г. Архангельска ул. Родионова 25, инвестор – ЗАО «Лесозавод 25», объем инвестиций – 4199,1 млн. руб., источники финансирования: собственные средства – 30%, заемные средства – 70%, период реализации 2015-2018 годы. </w:t>
      </w:r>
    </w:p>
    <w:p w:rsidR="004D4129" w:rsidRPr="00E65E2A" w:rsidRDefault="004D4129" w:rsidP="004D4129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5. Организация современного лесоперерабатывающего комплекса полного цикла в Архангельской области, инвестор ООО «Поморская лесопильная компания», объем инвестиций – 11042,0 млн. руб., источники финансирования: заемные средства – 95%, собственные – 5%, период реализации 2017-2021годы.</w:t>
      </w:r>
    </w:p>
    <w:p w:rsidR="004D4129" w:rsidRPr="00E65E2A" w:rsidRDefault="004D4129" w:rsidP="004D4129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6. Увеличение объемов глубокой переработки древесины, организация производства </w:t>
      </w:r>
      <w:proofErr w:type="spellStart"/>
      <w:r w:rsidRPr="00E65E2A">
        <w:rPr>
          <w:sz w:val="26"/>
          <w:szCs w:val="26"/>
        </w:rPr>
        <w:t>биотоплива</w:t>
      </w:r>
      <w:proofErr w:type="spellEnd"/>
      <w:r w:rsidRPr="00E65E2A">
        <w:rPr>
          <w:sz w:val="26"/>
          <w:szCs w:val="26"/>
        </w:rPr>
        <w:t xml:space="preserve"> на базе ООО «</w:t>
      </w:r>
      <w:proofErr w:type="spellStart"/>
      <w:r w:rsidRPr="00E65E2A">
        <w:rPr>
          <w:sz w:val="26"/>
          <w:szCs w:val="26"/>
        </w:rPr>
        <w:t>Форест</w:t>
      </w:r>
      <w:proofErr w:type="spellEnd"/>
      <w:r w:rsidRPr="00E65E2A">
        <w:rPr>
          <w:sz w:val="26"/>
          <w:szCs w:val="26"/>
        </w:rPr>
        <w:t>», инвестор – ООО «</w:t>
      </w:r>
      <w:proofErr w:type="spellStart"/>
      <w:r w:rsidRPr="00E65E2A">
        <w:rPr>
          <w:sz w:val="26"/>
          <w:szCs w:val="26"/>
        </w:rPr>
        <w:t>Форест</w:t>
      </w:r>
      <w:proofErr w:type="spellEnd"/>
      <w:r w:rsidRPr="00E65E2A">
        <w:rPr>
          <w:sz w:val="26"/>
          <w:szCs w:val="26"/>
        </w:rPr>
        <w:t>», объем инвестиций – 300,6 млн. руб., источники финансирования: заемные средства – 87%, собственные средства – 13%, период реализации 2016-2020 годы.</w:t>
      </w:r>
    </w:p>
    <w:p w:rsidR="00024F11" w:rsidRPr="00E65E2A" w:rsidRDefault="00024F11" w:rsidP="008B78BF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Транспорт.</w:t>
      </w:r>
    </w:p>
    <w:p w:rsidR="00024F11" w:rsidRPr="00E65E2A" w:rsidRDefault="00024F11" w:rsidP="008B78BF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Положительный вклад в прирост инвестиций в прогнозный период внесет динамика капитальных вложений в транспортный комплекс.</w:t>
      </w:r>
    </w:p>
    <w:p w:rsidR="00024F11" w:rsidRPr="00E65E2A" w:rsidRDefault="00024F11" w:rsidP="008B78BF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За счет федеральных средств в рамках государственной программы Российской Федерации «Развитие транспортной системы» в 2019 году планируется продолжить реализацию мероприятия по реконструкции аэропортового комплекса «Соловки», о. Соловки Архангельской области. Объем средств федерального бюджета, предусмотренный на указанные цели, составляет ежегодно в период 2019-2020 годов по 1 100 млн. рублей. </w:t>
      </w:r>
      <w:proofErr w:type="spellStart"/>
      <w:r w:rsidRPr="00E65E2A">
        <w:rPr>
          <w:sz w:val="26"/>
          <w:szCs w:val="26"/>
        </w:rPr>
        <w:t>Софинансирование</w:t>
      </w:r>
      <w:proofErr w:type="spellEnd"/>
      <w:r w:rsidRPr="00E65E2A">
        <w:rPr>
          <w:sz w:val="26"/>
          <w:szCs w:val="26"/>
        </w:rPr>
        <w:t xml:space="preserve"> из областного бюдже</w:t>
      </w:r>
      <w:r w:rsidR="008B78BF" w:rsidRPr="00E65E2A">
        <w:rPr>
          <w:sz w:val="26"/>
          <w:szCs w:val="26"/>
        </w:rPr>
        <w:t xml:space="preserve">та </w:t>
      </w:r>
      <w:r w:rsidR="008B78BF" w:rsidRPr="00E65E2A">
        <w:rPr>
          <w:sz w:val="26"/>
          <w:szCs w:val="26"/>
        </w:rPr>
        <w:br/>
        <w:t xml:space="preserve">в указанный период составит </w:t>
      </w:r>
      <w:r w:rsidRPr="00E65E2A">
        <w:rPr>
          <w:sz w:val="26"/>
          <w:szCs w:val="26"/>
        </w:rPr>
        <w:t xml:space="preserve">не менее 10%. </w:t>
      </w:r>
    </w:p>
    <w:p w:rsidR="00024F11" w:rsidRPr="00E65E2A" w:rsidRDefault="00024F11" w:rsidP="008B78BF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Объем инвестиций за счет средств дорожного фонда Архангельской области на 2018-2020 годы определяется в соответствии с подпрограммой </w:t>
      </w:r>
      <w:r w:rsidRPr="00E65E2A">
        <w:rPr>
          <w:sz w:val="26"/>
          <w:szCs w:val="26"/>
        </w:rPr>
        <w:br/>
        <w:t>№ 3 государственной программы «Развитие транспортной системы Архангельской области (2014-2020)», утвержденной постановлением Правительства Архангельской области от 08 октября 2013 года № 463-пп,</w:t>
      </w:r>
      <w:r w:rsidR="008B78BF" w:rsidRPr="00E65E2A">
        <w:rPr>
          <w:sz w:val="26"/>
          <w:szCs w:val="26"/>
        </w:rPr>
        <w:t xml:space="preserve"> </w:t>
      </w:r>
      <w:r w:rsidRPr="00E65E2A">
        <w:rPr>
          <w:sz w:val="26"/>
          <w:szCs w:val="26"/>
        </w:rPr>
        <w:t xml:space="preserve">а также пунктом 2.8 перечня мероприятий государственной программы Архангельской области </w:t>
      </w:r>
      <w:r w:rsidRPr="00E65E2A">
        <w:rPr>
          <w:sz w:val="26"/>
          <w:szCs w:val="26"/>
        </w:rPr>
        <w:lastRenderedPageBreak/>
        <w:t>«Устойчивое развитие сельских территорий Архангельской области (2014-2020 годы)».</w:t>
      </w:r>
    </w:p>
    <w:p w:rsidR="00024F11" w:rsidRPr="00E65E2A" w:rsidRDefault="00024F11" w:rsidP="008B78BF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В 2019-2021 годах основными направлениями капитальных вложений </w:t>
      </w:r>
      <w:r w:rsidRPr="00E65E2A">
        <w:rPr>
          <w:sz w:val="26"/>
          <w:szCs w:val="26"/>
        </w:rPr>
        <w:br/>
        <w:t>в дорожном хозяйстве являются:</w:t>
      </w:r>
    </w:p>
    <w:p w:rsidR="00024F11" w:rsidRPr="00E65E2A" w:rsidRDefault="00024F11" w:rsidP="008B78BF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обеспечение сельских населенных пунктов постоянной круглогодичной связью с сетью автомобильных дорог общего пользования по дорогам </w:t>
      </w:r>
      <w:r w:rsidRPr="00E65E2A">
        <w:rPr>
          <w:sz w:val="26"/>
          <w:szCs w:val="26"/>
        </w:rPr>
        <w:br/>
        <w:t>с твердым покрытием;</w:t>
      </w:r>
    </w:p>
    <w:p w:rsidR="00024F11" w:rsidRPr="00E65E2A" w:rsidRDefault="00024F11" w:rsidP="008B78BF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реализация поручений Президента Российской Федерации </w:t>
      </w:r>
      <w:r w:rsidRPr="00E65E2A">
        <w:rPr>
          <w:sz w:val="26"/>
          <w:szCs w:val="26"/>
        </w:rPr>
        <w:br/>
        <w:t>и Правительства Российской Федерации (средства иных межбюджетных трансфертов из федерального бюджета).</w:t>
      </w:r>
    </w:p>
    <w:p w:rsidR="00024F11" w:rsidRPr="00E65E2A" w:rsidRDefault="00024F11" w:rsidP="00024F11">
      <w:pPr>
        <w:pStyle w:val="af1"/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65E2A">
        <w:rPr>
          <w:sz w:val="28"/>
          <w:szCs w:val="28"/>
        </w:rPr>
        <w:t>Информация о проектах в других отраслях.</w:t>
      </w:r>
    </w:p>
    <w:p w:rsidR="00024F11" w:rsidRPr="00E65E2A" w:rsidRDefault="00024F11" w:rsidP="008B78BF">
      <w:pPr>
        <w:pStyle w:val="af1"/>
        <w:numPr>
          <w:ilvl w:val="0"/>
          <w:numId w:val="8"/>
        </w:numPr>
        <w:spacing w:line="288" w:lineRule="auto"/>
        <w:ind w:left="0" w:firstLine="709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Инвестиционный проект «Реконструкция корпусообрабатывающего производства на площадке гражданского производства Архангельского филиала «Судоремонтный завод «Красная Кузница» АО «ЦС «Звездочка». Проектом стоимостью 3 848 млн. рублей в период с 2017 по 2021 год предусмотрена модернизация блока корпусных цехов под корпусообрабатывающее и сборочно-сварочное производство с внедрением механизированных и автоматизированных участков на площадке гражданского производства, а также организация современного судостроительно-судоремонтного предприятия с возможностью обеспечения среднего и текущего ремонта, сервисного обслуживания судов и кораблей судовладельцев Северо-западного региона, организации производства верхних строений буровых платформ, </w:t>
      </w:r>
      <w:proofErr w:type="spellStart"/>
      <w:r w:rsidRPr="00E65E2A">
        <w:rPr>
          <w:sz w:val="26"/>
          <w:szCs w:val="26"/>
        </w:rPr>
        <w:t>темплейтов</w:t>
      </w:r>
      <w:proofErr w:type="spellEnd"/>
      <w:r w:rsidRPr="00E65E2A">
        <w:rPr>
          <w:sz w:val="26"/>
          <w:szCs w:val="26"/>
        </w:rPr>
        <w:t xml:space="preserve"> и </w:t>
      </w:r>
      <w:proofErr w:type="spellStart"/>
      <w:r w:rsidRPr="00E65E2A">
        <w:rPr>
          <w:sz w:val="26"/>
          <w:szCs w:val="26"/>
        </w:rPr>
        <w:t>манифольдов</w:t>
      </w:r>
      <w:proofErr w:type="spellEnd"/>
      <w:r w:rsidRPr="00E65E2A">
        <w:rPr>
          <w:sz w:val="26"/>
          <w:szCs w:val="26"/>
        </w:rPr>
        <w:t>.</w:t>
      </w:r>
    </w:p>
    <w:p w:rsidR="00024F11" w:rsidRPr="00E65E2A" w:rsidRDefault="00024F11" w:rsidP="008B78BF">
      <w:pPr>
        <w:pStyle w:val="af1"/>
        <w:numPr>
          <w:ilvl w:val="0"/>
          <w:numId w:val="8"/>
        </w:numPr>
        <w:spacing w:line="288" w:lineRule="auto"/>
        <w:ind w:left="0" w:firstLine="709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В 2018 году планируется начать строительство производственно-логистического комплекса «Архангельск» Министерства обороны Российской Федерации в рамках концессионного соглашения между Министерством обороны Российской Федерации и обществом с ограниченной ответственностью ПЛК «Архангельск». Инвестиционный проект «Создание производственно-логистического комплекса для хранения имущества Вооруженных сил Российской Федерации на основе концессионного соглашения» стоимостью 9,5 млрд</w:t>
      </w:r>
      <w:r w:rsidR="00604677" w:rsidRPr="00E65E2A">
        <w:rPr>
          <w:sz w:val="26"/>
          <w:szCs w:val="26"/>
        </w:rPr>
        <w:t xml:space="preserve">. рублей планируется завершить </w:t>
      </w:r>
      <w:r w:rsidRPr="00E65E2A">
        <w:rPr>
          <w:sz w:val="26"/>
          <w:szCs w:val="26"/>
        </w:rPr>
        <w:t>в 2020 году. В настоящее время концессионное соглашение не подписано.</w:t>
      </w:r>
    </w:p>
    <w:p w:rsidR="00024F11" w:rsidRPr="00E65E2A" w:rsidRDefault="00024F11" w:rsidP="008B78BF">
      <w:pPr>
        <w:pStyle w:val="af1"/>
        <w:numPr>
          <w:ilvl w:val="0"/>
          <w:numId w:val="8"/>
        </w:numPr>
        <w:spacing w:line="288" w:lineRule="auto"/>
        <w:ind w:left="0" w:firstLine="709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В сентябре 2018 года на территории г. Архангельск планируется ввести в эксплуатацию выставочный центр «Норд-Экспо». Объект создается в рамках приоритетного инвестиционного проекта Архангельской области. Общая стоимость строительства составит 320 млн. рублей. Сумма инвестиций в 2017 году составила 125 млн. рублей.</w:t>
      </w:r>
    </w:p>
    <w:p w:rsidR="00024F11" w:rsidRPr="00E65E2A" w:rsidRDefault="00024F11" w:rsidP="008B78BF">
      <w:pPr>
        <w:pStyle w:val="af1"/>
        <w:numPr>
          <w:ilvl w:val="0"/>
          <w:numId w:val="8"/>
        </w:numPr>
        <w:spacing w:line="288" w:lineRule="auto"/>
        <w:ind w:left="0" w:firstLine="709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В 2018 году начнется строительство центра семейной медицины в округе Майская горка города Архангельска. Инвестиционный проект реализует ООО «Семейная клиника». Сумма инвестиций составит 120 млн. рублей. Планируемый срок ввода в эксплуатацию – 2019 год.</w:t>
      </w:r>
    </w:p>
    <w:p w:rsidR="00024F11" w:rsidRPr="00E65E2A" w:rsidRDefault="00024F11" w:rsidP="008B78BF">
      <w:pPr>
        <w:pStyle w:val="af1"/>
        <w:numPr>
          <w:ilvl w:val="0"/>
          <w:numId w:val="8"/>
        </w:numPr>
        <w:spacing w:line="288" w:lineRule="auto"/>
        <w:ind w:left="0" w:firstLine="709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Компания «Макси </w:t>
      </w:r>
      <w:proofErr w:type="spellStart"/>
      <w:r w:rsidRPr="00E65E2A">
        <w:rPr>
          <w:sz w:val="26"/>
          <w:szCs w:val="26"/>
        </w:rPr>
        <w:t>Девелопмент</w:t>
      </w:r>
      <w:proofErr w:type="spellEnd"/>
      <w:r w:rsidRPr="00E65E2A">
        <w:rPr>
          <w:sz w:val="26"/>
          <w:szCs w:val="26"/>
        </w:rPr>
        <w:t xml:space="preserve">» продолжает реализацию инвестиционных планов по строительству сети гипермаркетов на территории </w:t>
      </w:r>
      <w:r w:rsidRPr="00E65E2A">
        <w:rPr>
          <w:sz w:val="26"/>
          <w:szCs w:val="26"/>
        </w:rPr>
        <w:lastRenderedPageBreak/>
        <w:t xml:space="preserve">города Архангельска и Северодвинска. В 2018 году планируется ввести </w:t>
      </w:r>
      <w:r w:rsidRPr="00E65E2A">
        <w:rPr>
          <w:sz w:val="26"/>
          <w:szCs w:val="26"/>
        </w:rPr>
        <w:br/>
        <w:t xml:space="preserve">в эксплуатацию четыре крупных торговых объекта, общий объем инвестиций компании в экономику Архангельской области за период 2016-2018 годов составит 6,5 млрд. рублей. </w:t>
      </w:r>
    </w:p>
    <w:p w:rsidR="00024F11" w:rsidRPr="00E65E2A" w:rsidRDefault="00024F11" w:rsidP="00312E18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Кроме того, в реестр приоритетных инвестиционных проектов Архангельской области планируется включить новые инвестиционные проекты:</w:t>
      </w:r>
    </w:p>
    <w:p w:rsidR="00024F11" w:rsidRPr="00E65E2A" w:rsidRDefault="00024F11" w:rsidP="00312E18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проектирование и строительство цеха по производству сборных железобетонных изделий методом непрерывного </w:t>
      </w:r>
      <w:proofErr w:type="spellStart"/>
      <w:r w:rsidRPr="00E65E2A">
        <w:rPr>
          <w:sz w:val="26"/>
          <w:szCs w:val="26"/>
        </w:rPr>
        <w:t>безопалубочного</w:t>
      </w:r>
      <w:proofErr w:type="spellEnd"/>
      <w:r w:rsidRPr="00E65E2A">
        <w:rPr>
          <w:sz w:val="26"/>
          <w:szCs w:val="26"/>
        </w:rPr>
        <w:t xml:space="preserve"> формирования общей стоимостью 175,9 млн. рублей и сроком реализации 2018-2026 годы, инвестор - ОАО «Северодвинский завод строительных материалов». Инвестиции </w:t>
      </w:r>
      <w:r w:rsidR="00312E18" w:rsidRPr="00E65E2A">
        <w:rPr>
          <w:sz w:val="26"/>
          <w:szCs w:val="26"/>
        </w:rPr>
        <w:br/>
      </w:r>
      <w:r w:rsidRPr="00E65E2A">
        <w:rPr>
          <w:sz w:val="26"/>
          <w:szCs w:val="26"/>
        </w:rPr>
        <w:t>в капитальные вложения, планируемые к освоению в течение 2018–2019 годов, составят 140</w:t>
      </w:r>
      <w:r w:rsidR="001F6D68" w:rsidRPr="00E65E2A">
        <w:rPr>
          <w:sz w:val="26"/>
          <w:szCs w:val="26"/>
        </w:rPr>
        <w:t>,1</w:t>
      </w:r>
      <w:r w:rsidRPr="00E65E2A">
        <w:rPr>
          <w:sz w:val="26"/>
          <w:szCs w:val="26"/>
        </w:rPr>
        <w:t xml:space="preserve"> мл</w:t>
      </w:r>
      <w:r w:rsidR="001F6D68" w:rsidRPr="00E65E2A">
        <w:rPr>
          <w:sz w:val="26"/>
          <w:szCs w:val="26"/>
        </w:rPr>
        <w:t>рд</w:t>
      </w:r>
      <w:r w:rsidRPr="00E65E2A">
        <w:rPr>
          <w:sz w:val="26"/>
          <w:szCs w:val="26"/>
        </w:rPr>
        <w:t>. рублей;</w:t>
      </w:r>
    </w:p>
    <w:p w:rsidR="00024F11" w:rsidRPr="00E65E2A" w:rsidRDefault="00024F11" w:rsidP="00312E18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строительство современных межмуниципальных комплексных систем </w:t>
      </w:r>
      <w:r w:rsidR="00C4168A" w:rsidRPr="00E65E2A">
        <w:rPr>
          <w:sz w:val="26"/>
          <w:szCs w:val="26"/>
        </w:rPr>
        <w:br/>
      </w:r>
      <w:r w:rsidRPr="00E65E2A">
        <w:rPr>
          <w:sz w:val="26"/>
          <w:szCs w:val="26"/>
        </w:rPr>
        <w:t>по обращению с твердыми коммунальными отходами общей стоимостью 2 014 млн. рублей и сроком реализа</w:t>
      </w:r>
      <w:r w:rsidR="001F6D68" w:rsidRPr="00E65E2A">
        <w:rPr>
          <w:sz w:val="26"/>
          <w:szCs w:val="26"/>
        </w:rPr>
        <w:t xml:space="preserve">ции 2018-2019 годы, инвестор - </w:t>
      </w:r>
      <w:r w:rsidRPr="00E65E2A">
        <w:rPr>
          <w:sz w:val="26"/>
          <w:szCs w:val="26"/>
        </w:rPr>
        <w:t>ООО «</w:t>
      </w:r>
      <w:proofErr w:type="spellStart"/>
      <w:r w:rsidRPr="00E65E2A">
        <w:rPr>
          <w:sz w:val="26"/>
          <w:szCs w:val="26"/>
        </w:rPr>
        <w:t>Экоцентр</w:t>
      </w:r>
      <w:proofErr w:type="spellEnd"/>
      <w:r w:rsidRPr="00E65E2A">
        <w:rPr>
          <w:sz w:val="26"/>
          <w:szCs w:val="26"/>
        </w:rPr>
        <w:t>».</w:t>
      </w:r>
    </w:p>
    <w:p w:rsidR="00024F11" w:rsidRPr="00E65E2A" w:rsidRDefault="00024F11" w:rsidP="00312E18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Также на территории Архангельской области реализуется областная адресная инвестиционная программа, утвержденная на 2018 год и плановый период 2019 и 2020 годов (далее – программа). Общий объем капитальных вложений, утвержденный программой, составляет 17 </w:t>
      </w:r>
      <w:r w:rsidR="00C4168A" w:rsidRPr="00E65E2A">
        <w:rPr>
          <w:sz w:val="26"/>
          <w:szCs w:val="26"/>
        </w:rPr>
        <w:t>,9</w:t>
      </w:r>
      <w:r w:rsidRPr="00E65E2A">
        <w:rPr>
          <w:sz w:val="26"/>
          <w:szCs w:val="26"/>
        </w:rPr>
        <w:t xml:space="preserve"> мл</w:t>
      </w:r>
      <w:r w:rsidR="00C4168A" w:rsidRPr="00E65E2A">
        <w:rPr>
          <w:sz w:val="26"/>
          <w:szCs w:val="26"/>
        </w:rPr>
        <w:t>рд</w:t>
      </w:r>
      <w:r w:rsidRPr="00E65E2A">
        <w:rPr>
          <w:sz w:val="26"/>
          <w:szCs w:val="26"/>
        </w:rPr>
        <w:t>. рублей за счет всех источников, а общий (предельный) объем бюджетных ассигнований областного бюджета – 3</w:t>
      </w:r>
      <w:r w:rsidR="00C4168A" w:rsidRPr="00E65E2A">
        <w:rPr>
          <w:sz w:val="26"/>
          <w:szCs w:val="26"/>
        </w:rPr>
        <w:t>,1 </w:t>
      </w:r>
      <w:r w:rsidRPr="00E65E2A">
        <w:rPr>
          <w:sz w:val="26"/>
          <w:szCs w:val="26"/>
        </w:rPr>
        <w:t>мл</w:t>
      </w:r>
      <w:r w:rsidR="00C4168A" w:rsidRPr="00E65E2A">
        <w:rPr>
          <w:sz w:val="26"/>
          <w:szCs w:val="26"/>
        </w:rPr>
        <w:t>рд</w:t>
      </w:r>
      <w:r w:rsidRPr="00E65E2A">
        <w:rPr>
          <w:sz w:val="26"/>
          <w:szCs w:val="26"/>
        </w:rPr>
        <w:t xml:space="preserve">. рублей. </w:t>
      </w:r>
    </w:p>
    <w:p w:rsidR="00024F11" w:rsidRPr="00E65E2A" w:rsidRDefault="00024F11" w:rsidP="00312E18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Значительный объем капитальных вложений в соответствии </w:t>
      </w:r>
      <w:r w:rsidRPr="00E65E2A">
        <w:rPr>
          <w:sz w:val="26"/>
          <w:szCs w:val="26"/>
        </w:rPr>
        <w:br/>
        <w:t xml:space="preserve">с программой планируется направить на предоставление доступного </w:t>
      </w:r>
      <w:r w:rsidRPr="00E65E2A">
        <w:rPr>
          <w:sz w:val="26"/>
          <w:szCs w:val="26"/>
        </w:rPr>
        <w:br/>
        <w:t xml:space="preserve">и комфортного жилья 60% семей, проживающих в Архангельской области </w:t>
      </w:r>
      <w:r w:rsidRPr="00E65E2A">
        <w:rPr>
          <w:sz w:val="26"/>
          <w:szCs w:val="26"/>
        </w:rPr>
        <w:br/>
        <w:t xml:space="preserve">и желающих улучшить свои жилищные условия, включая граждан - членов жилищно-строительных кооперативов, и ветеранам Великой Отечественной войны (строительство и приобретение жилья, в том числе для использования </w:t>
      </w:r>
      <w:r w:rsidRPr="00E65E2A">
        <w:rPr>
          <w:sz w:val="26"/>
          <w:szCs w:val="26"/>
        </w:rPr>
        <w:br/>
        <w:t xml:space="preserve">в качестве маневренного жилищного фонда, и объектов инженерной инфраструктуры) и составляет 5 839,6 млн. рублей за счет всех источников. </w:t>
      </w:r>
    </w:p>
    <w:p w:rsidR="005B50C7" w:rsidRPr="00E65E2A" w:rsidRDefault="005B50C7" w:rsidP="00252AA1">
      <w:pPr>
        <w:pStyle w:val="1"/>
        <w:spacing w:before="120" w:after="0"/>
        <w:rPr>
          <w:szCs w:val="26"/>
        </w:rPr>
      </w:pPr>
      <w:r w:rsidRPr="00E65E2A">
        <w:rPr>
          <w:szCs w:val="26"/>
        </w:rPr>
        <w:t>Финансы</w:t>
      </w:r>
      <w:r w:rsidR="008C0FF0" w:rsidRPr="00E65E2A">
        <w:rPr>
          <w:szCs w:val="26"/>
        </w:rPr>
        <w:t>.</w:t>
      </w:r>
    </w:p>
    <w:p w:rsidR="008C3851" w:rsidRPr="00E65E2A" w:rsidRDefault="008C3851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Прогноз прибыли прибыльных организаций по Архангельской области сформирован, основываясь:</w:t>
      </w:r>
    </w:p>
    <w:p w:rsidR="008C3851" w:rsidRPr="00E65E2A" w:rsidRDefault="008C3851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на текущей ситуации в экономике региона (статистические данные о прибыли крупных организаций и субъектов среднего предпринимательства) и анализа сопоставления с предыдущими периодами;</w:t>
      </w:r>
    </w:p>
    <w:p w:rsidR="008C3851" w:rsidRPr="00E65E2A" w:rsidRDefault="008C3851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на статистических данных о прибыли прибыльных организаций по данным годовой бухгалтерской отч</w:t>
      </w:r>
      <w:r w:rsidR="00D81D30" w:rsidRPr="00E65E2A">
        <w:rPr>
          <w:sz w:val="26"/>
          <w:szCs w:val="26"/>
        </w:rPr>
        <w:t>е</w:t>
      </w:r>
      <w:r w:rsidRPr="00E65E2A">
        <w:rPr>
          <w:sz w:val="26"/>
          <w:szCs w:val="26"/>
        </w:rPr>
        <w:t>тности;</w:t>
      </w:r>
    </w:p>
    <w:p w:rsidR="008C3851" w:rsidRPr="00E65E2A" w:rsidRDefault="008C3851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на данных налоговой отч</w:t>
      </w:r>
      <w:r w:rsidR="00D81D30" w:rsidRPr="00E65E2A">
        <w:rPr>
          <w:sz w:val="26"/>
          <w:szCs w:val="26"/>
        </w:rPr>
        <w:t>е</w:t>
      </w:r>
      <w:r w:rsidRPr="00E65E2A">
        <w:rPr>
          <w:sz w:val="26"/>
          <w:szCs w:val="26"/>
        </w:rPr>
        <w:t xml:space="preserve">тности 1-НМ </w:t>
      </w:r>
      <w:r w:rsidR="00CB26F5" w:rsidRPr="00E65E2A">
        <w:rPr>
          <w:sz w:val="26"/>
          <w:szCs w:val="26"/>
        </w:rPr>
        <w:t>«</w:t>
      </w:r>
      <w:r w:rsidRPr="00E65E2A">
        <w:rPr>
          <w:sz w:val="26"/>
          <w:szCs w:val="26"/>
        </w:rPr>
        <w:t>Отч</w:t>
      </w:r>
      <w:r w:rsidR="00D81D30" w:rsidRPr="00E65E2A">
        <w:rPr>
          <w:sz w:val="26"/>
          <w:szCs w:val="26"/>
        </w:rPr>
        <w:t>е</w:t>
      </w:r>
      <w:r w:rsidRPr="00E65E2A">
        <w:rPr>
          <w:sz w:val="26"/>
          <w:szCs w:val="26"/>
        </w:rPr>
        <w:t>т о начислении и поступлении налогов, сборов и иных обязательных платежей в бюджетную систему Российской Федерации</w:t>
      </w:r>
      <w:r w:rsidR="00CB26F5" w:rsidRPr="00E65E2A">
        <w:rPr>
          <w:sz w:val="26"/>
          <w:szCs w:val="26"/>
        </w:rPr>
        <w:t>»</w:t>
      </w:r>
      <w:r w:rsidRPr="00E65E2A">
        <w:rPr>
          <w:sz w:val="26"/>
          <w:szCs w:val="26"/>
        </w:rPr>
        <w:t>;</w:t>
      </w:r>
    </w:p>
    <w:p w:rsidR="00CC4DF4" w:rsidRPr="00E65E2A" w:rsidRDefault="00CC4DF4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E65E2A">
        <w:rPr>
          <w:sz w:val="26"/>
          <w:szCs w:val="26"/>
        </w:rPr>
        <w:lastRenderedPageBreak/>
        <w:t>на отчетности об исполнении консолидированного бюджета субъекта Российской Федерации;</w:t>
      </w:r>
    </w:p>
    <w:p w:rsidR="008C3851" w:rsidRPr="00E65E2A" w:rsidRDefault="008C3851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E65E2A">
        <w:rPr>
          <w:sz w:val="26"/>
          <w:szCs w:val="26"/>
        </w:rPr>
        <w:t xml:space="preserve">на прогнозах ряда крупнейших предприятий </w:t>
      </w:r>
      <w:r w:rsidR="00AF0E73" w:rsidRPr="00E65E2A">
        <w:rPr>
          <w:sz w:val="26"/>
          <w:szCs w:val="26"/>
        </w:rPr>
        <w:t>Архангельской области</w:t>
      </w:r>
      <w:r w:rsidRPr="00E65E2A">
        <w:rPr>
          <w:sz w:val="26"/>
          <w:szCs w:val="26"/>
        </w:rPr>
        <w:t>;</w:t>
      </w:r>
    </w:p>
    <w:p w:rsidR="008C3851" w:rsidRPr="00E65E2A" w:rsidRDefault="008C3851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на тенденциях развития экономики Российской Федерации (сценарные условия Министерства экономического развития Российской Федерации).</w:t>
      </w:r>
    </w:p>
    <w:p w:rsidR="008C3851" w:rsidRPr="00E65E2A" w:rsidRDefault="008C3851" w:rsidP="008C0FF0">
      <w:pPr>
        <w:spacing w:before="120" w:line="288" w:lineRule="auto"/>
        <w:ind w:firstLine="720"/>
        <w:jc w:val="both"/>
        <w:rPr>
          <w:sz w:val="26"/>
          <w:szCs w:val="26"/>
        </w:rPr>
      </w:pPr>
      <w:r w:rsidRPr="00E65E2A">
        <w:rPr>
          <w:sz w:val="26"/>
          <w:szCs w:val="26"/>
        </w:rPr>
        <w:t>По Архангельской области показатель «прибыль прибыльных организаций» оценивается на уровне:</w:t>
      </w:r>
    </w:p>
    <w:tbl>
      <w:tblPr>
        <w:tblStyle w:val="ac"/>
        <w:tblW w:w="0" w:type="auto"/>
        <w:tblLook w:val="04A0"/>
      </w:tblPr>
      <w:tblGrid>
        <w:gridCol w:w="2122"/>
        <w:gridCol w:w="85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C4168A" w:rsidRPr="00E65E2A" w:rsidTr="009610F2">
        <w:tc>
          <w:tcPr>
            <w:tcW w:w="2122" w:type="dxa"/>
            <w:vMerge w:val="restart"/>
            <w:vAlign w:val="center"/>
          </w:tcPr>
          <w:p w:rsidR="00C4168A" w:rsidRPr="00E65E2A" w:rsidRDefault="00C4168A" w:rsidP="00C4168A">
            <w:pPr>
              <w:jc w:val="center"/>
            </w:pPr>
            <w:r w:rsidRPr="00E65E2A">
              <w:t>Показатель</w:t>
            </w:r>
          </w:p>
        </w:tc>
        <w:tc>
          <w:tcPr>
            <w:tcW w:w="850" w:type="dxa"/>
            <w:vMerge w:val="restart"/>
            <w:vAlign w:val="center"/>
          </w:tcPr>
          <w:p w:rsidR="00C4168A" w:rsidRPr="00E65E2A" w:rsidRDefault="00C4168A" w:rsidP="00C4168A">
            <w:pPr>
              <w:jc w:val="center"/>
            </w:pPr>
            <w:r w:rsidRPr="00E65E2A">
              <w:t>2018 год</w:t>
            </w:r>
          </w:p>
        </w:tc>
        <w:tc>
          <w:tcPr>
            <w:tcW w:w="2126" w:type="dxa"/>
            <w:gridSpan w:val="3"/>
            <w:vAlign w:val="center"/>
          </w:tcPr>
          <w:p w:rsidR="00C4168A" w:rsidRPr="00E65E2A" w:rsidRDefault="00C4168A" w:rsidP="00C4168A">
            <w:pPr>
              <w:jc w:val="center"/>
            </w:pPr>
            <w:r w:rsidRPr="00E65E2A">
              <w:t>2019 год</w:t>
            </w:r>
          </w:p>
        </w:tc>
        <w:tc>
          <w:tcPr>
            <w:tcW w:w="2127" w:type="dxa"/>
            <w:gridSpan w:val="3"/>
            <w:vAlign w:val="center"/>
          </w:tcPr>
          <w:p w:rsidR="00C4168A" w:rsidRPr="00E65E2A" w:rsidRDefault="00C4168A" w:rsidP="00C4168A">
            <w:pPr>
              <w:jc w:val="center"/>
            </w:pPr>
            <w:r w:rsidRPr="00E65E2A">
              <w:t>2020 год</w:t>
            </w:r>
          </w:p>
        </w:tc>
        <w:tc>
          <w:tcPr>
            <w:tcW w:w="2119" w:type="dxa"/>
            <w:gridSpan w:val="3"/>
            <w:vAlign w:val="center"/>
          </w:tcPr>
          <w:p w:rsidR="00C4168A" w:rsidRPr="00E65E2A" w:rsidRDefault="00C4168A" w:rsidP="00C4168A">
            <w:pPr>
              <w:jc w:val="center"/>
            </w:pPr>
            <w:r w:rsidRPr="00E65E2A">
              <w:t>2021 год</w:t>
            </w:r>
          </w:p>
        </w:tc>
      </w:tr>
      <w:tr w:rsidR="00820777" w:rsidRPr="00E65E2A" w:rsidTr="009610F2">
        <w:tc>
          <w:tcPr>
            <w:tcW w:w="2122" w:type="dxa"/>
            <w:vMerge/>
          </w:tcPr>
          <w:p w:rsidR="00820777" w:rsidRPr="00E65E2A" w:rsidRDefault="00820777" w:rsidP="009610F2">
            <w:pPr>
              <w:jc w:val="both"/>
            </w:pPr>
          </w:p>
        </w:tc>
        <w:tc>
          <w:tcPr>
            <w:tcW w:w="850" w:type="dxa"/>
            <w:vMerge/>
          </w:tcPr>
          <w:p w:rsidR="00820777" w:rsidRPr="00E65E2A" w:rsidRDefault="00820777" w:rsidP="009610F2">
            <w:pPr>
              <w:jc w:val="both"/>
            </w:pPr>
          </w:p>
        </w:tc>
        <w:tc>
          <w:tcPr>
            <w:tcW w:w="709" w:type="dxa"/>
            <w:vAlign w:val="center"/>
          </w:tcPr>
          <w:p w:rsidR="00820777" w:rsidRPr="00E65E2A" w:rsidRDefault="00820777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1 вар.</w:t>
            </w:r>
          </w:p>
        </w:tc>
        <w:tc>
          <w:tcPr>
            <w:tcW w:w="709" w:type="dxa"/>
            <w:vAlign w:val="center"/>
          </w:tcPr>
          <w:p w:rsidR="00820777" w:rsidRPr="00E65E2A" w:rsidRDefault="00820777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2 вар.</w:t>
            </w:r>
          </w:p>
        </w:tc>
        <w:tc>
          <w:tcPr>
            <w:tcW w:w="708" w:type="dxa"/>
            <w:vAlign w:val="center"/>
          </w:tcPr>
          <w:p w:rsidR="00820777" w:rsidRPr="00E65E2A" w:rsidRDefault="00820777" w:rsidP="009610F2">
            <w:pPr>
              <w:jc w:val="center"/>
              <w:rPr>
                <w:sz w:val="20"/>
              </w:rPr>
            </w:pPr>
            <w:r w:rsidRPr="00E65E2A">
              <w:rPr>
                <w:spacing w:val="-6"/>
                <w:sz w:val="20"/>
              </w:rPr>
              <w:t>3 вар.</w:t>
            </w:r>
          </w:p>
        </w:tc>
        <w:tc>
          <w:tcPr>
            <w:tcW w:w="709" w:type="dxa"/>
            <w:vAlign w:val="center"/>
          </w:tcPr>
          <w:p w:rsidR="00820777" w:rsidRPr="00E65E2A" w:rsidRDefault="00820777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1 вар.</w:t>
            </w:r>
          </w:p>
        </w:tc>
        <w:tc>
          <w:tcPr>
            <w:tcW w:w="709" w:type="dxa"/>
            <w:vAlign w:val="center"/>
          </w:tcPr>
          <w:p w:rsidR="00820777" w:rsidRPr="00E65E2A" w:rsidRDefault="00820777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2 вар.</w:t>
            </w:r>
          </w:p>
        </w:tc>
        <w:tc>
          <w:tcPr>
            <w:tcW w:w="709" w:type="dxa"/>
            <w:vAlign w:val="center"/>
          </w:tcPr>
          <w:p w:rsidR="00820777" w:rsidRPr="00E65E2A" w:rsidRDefault="00820777" w:rsidP="009610F2">
            <w:pPr>
              <w:jc w:val="center"/>
              <w:rPr>
                <w:sz w:val="20"/>
              </w:rPr>
            </w:pPr>
            <w:r w:rsidRPr="00E65E2A">
              <w:rPr>
                <w:spacing w:val="-6"/>
                <w:sz w:val="20"/>
              </w:rPr>
              <w:t>3 вар.</w:t>
            </w:r>
          </w:p>
        </w:tc>
        <w:tc>
          <w:tcPr>
            <w:tcW w:w="706" w:type="dxa"/>
            <w:vAlign w:val="center"/>
          </w:tcPr>
          <w:p w:rsidR="00820777" w:rsidRPr="00E65E2A" w:rsidRDefault="00820777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1 вар.</w:t>
            </w:r>
          </w:p>
        </w:tc>
        <w:tc>
          <w:tcPr>
            <w:tcW w:w="706" w:type="dxa"/>
            <w:vAlign w:val="center"/>
          </w:tcPr>
          <w:p w:rsidR="00820777" w:rsidRPr="00E65E2A" w:rsidRDefault="00820777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2 вар.</w:t>
            </w:r>
          </w:p>
        </w:tc>
        <w:tc>
          <w:tcPr>
            <w:tcW w:w="707" w:type="dxa"/>
            <w:vAlign w:val="center"/>
          </w:tcPr>
          <w:p w:rsidR="00820777" w:rsidRPr="00E65E2A" w:rsidRDefault="00820777" w:rsidP="009610F2">
            <w:pPr>
              <w:jc w:val="center"/>
              <w:rPr>
                <w:sz w:val="20"/>
              </w:rPr>
            </w:pPr>
            <w:r w:rsidRPr="00E65E2A">
              <w:rPr>
                <w:spacing w:val="-6"/>
                <w:sz w:val="20"/>
              </w:rPr>
              <w:t>3 вар.</w:t>
            </w:r>
          </w:p>
        </w:tc>
      </w:tr>
      <w:tr w:rsidR="00C4168A" w:rsidRPr="003626D9" w:rsidTr="009610F2">
        <w:tc>
          <w:tcPr>
            <w:tcW w:w="2122" w:type="dxa"/>
          </w:tcPr>
          <w:p w:rsidR="00C4168A" w:rsidRPr="00E65E2A" w:rsidRDefault="00C4168A" w:rsidP="00C4168A">
            <w:r w:rsidRPr="00E65E2A">
              <w:t>Прибыль прибыльных организаций, млрд. рублей</w:t>
            </w:r>
          </w:p>
        </w:tc>
        <w:tc>
          <w:tcPr>
            <w:tcW w:w="850" w:type="dxa"/>
            <w:vAlign w:val="center"/>
          </w:tcPr>
          <w:p w:rsidR="00C4168A" w:rsidRPr="00E65E2A" w:rsidRDefault="00C4168A" w:rsidP="00C4168A">
            <w:pPr>
              <w:jc w:val="center"/>
              <w:rPr>
                <w:color w:val="000000"/>
                <w:szCs w:val="18"/>
              </w:rPr>
            </w:pPr>
            <w:r w:rsidRPr="00E65E2A">
              <w:rPr>
                <w:color w:val="000000"/>
                <w:szCs w:val="18"/>
              </w:rPr>
              <w:t>75,00</w:t>
            </w:r>
          </w:p>
        </w:tc>
        <w:tc>
          <w:tcPr>
            <w:tcW w:w="709" w:type="dxa"/>
            <w:vAlign w:val="center"/>
          </w:tcPr>
          <w:p w:rsidR="00C4168A" w:rsidRPr="00E65E2A" w:rsidRDefault="00C4168A" w:rsidP="00C4168A">
            <w:pPr>
              <w:jc w:val="center"/>
              <w:rPr>
                <w:color w:val="000000"/>
                <w:szCs w:val="18"/>
              </w:rPr>
            </w:pPr>
            <w:r w:rsidRPr="00E65E2A">
              <w:rPr>
                <w:color w:val="000000"/>
                <w:szCs w:val="18"/>
              </w:rPr>
              <w:t>64,62</w:t>
            </w:r>
          </w:p>
        </w:tc>
        <w:tc>
          <w:tcPr>
            <w:tcW w:w="709" w:type="dxa"/>
            <w:vAlign w:val="center"/>
          </w:tcPr>
          <w:p w:rsidR="00C4168A" w:rsidRPr="00E65E2A" w:rsidRDefault="00C4168A" w:rsidP="00C4168A">
            <w:pPr>
              <w:jc w:val="center"/>
              <w:rPr>
                <w:color w:val="000000"/>
                <w:szCs w:val="18"/>
              </w:rPr>
            </w:pPr>
            <w:r w:rsidRPr="00E65E2A">
              <w:rPr>
                <w:color w:val="000000"/>
                <w:szCs w:val="18"/>
              </w:rPr>
              <w:t>66,52</w:t>
            </w:r>
          </w:p>
        </w:tc>
        <w:tc>
          <w:tcPr>
            <w:tcW w:w="708" w:type="dxa"/>
            <w:vAlign w:val="center"/>
          </w:tcPr>
          <w:p w:rsidR="00C4168A" w:rsidRPr="00E65E2A" w:rsidRDefault="00C4168A" w:rsidP="00C4168A">
            <w:pPr>
              <w:jc w:val="center"/>
              <w:rPr>
                <w:color w:val="000000"/>
                <w:szCs w:val="18"/>
              </w:rPr>
            </w:pPr>
            <w:r w:rsidRPr="00E65E2A">
              <w:rPr>
                <w:color w:val="000000"/>
                <w:szCs w:val="18"/>
              </w:rPr>
              <w:t>67,34</w:t>
            </w:r>
          </w:p>
        </w:tc>
        <w:tc>
          <w:tcPr>
            <w:tcW w:w="709" w:type="dxa"/>
            <w:vAlign w:val="center"/>
          </w:tcPr>
          <w:p w:rsidR="00C4168A" w:rsidRPr="00E65E2A" w:rsidRDefault="00C4168A" w:rsidP="00C4168A">
            <w:pPr>
              <w:jc w:val="center"/>
              <w:rPr>
                <w:color w:val="000000"/>
                <w:szCs w:val="18"/>
              </w:rPr>
            </w:pPr>
            <w:r w:rsidRPr="00E65E2A">
              <w:rPr>
                <w:color w:val="000000"/>
                <w:szCs w:val="18"/>
              </w:rPr>
              <w:t>66,11</w:t>
            </w:r>
          </w:p>
        </w:tc>
        <w:tc>
          <w:tcPr>
            <w:tcW w:w="709" w:type="dxa"/>
            <w:vAlign w:val="center"/>
          </w:tcPr>
          <w:p w:rsidR="00C4168A" w:rsidRPr="00E65E2A" w:rsidRDefault="00C4168A" w:rsidP="00C4168A">
            <w:pPr>
              <w:jc w:val="center"/>
              <w:rPr>
                <w:color w:val="000000"/>
                <w:szCs w:val="18"/>
              </w:rPr>
            </w:pPr>
            <w:r w:rsidRPr="00E65E2A">
              <w:rPr>
                <w:color w:val="000000"/>
                <w:szCs w:val="18"/>
              </w:rPr>
              <w:t>69,65</w:t>
            </w:r>
          </w:p>
        </w:tc>
        <w:tc>
          <w:tcPr>
            <w:tcW w:w="709" w:type="dxa"/>
            <w:vAlign w:val="center"/>
          </w:tcPr>
          <w:p w:rsidR="00C4168A" w:rsidRPr="00E65E2A" w:rsidRDefault="00C4168A" w:rsidP="00C4168A">
            <w:pPr>
              <w:jc w:val="center"/>
              <w:rPr>
                <w:color w:val="000000"/>
                <w:szCs w:val="18"/>
              </w:rPr>
            </w:pPr>
            <w:r w:rsidRPr="00E65E2A">
              <w:rPr>
                <w:color w:val="000000"/>
                <w:szCs w:val="18"/>
              </w:rPr>
              <w:t>71,18</w:t>
            </w:r>
          </w:p>
        </w:tc>
        <w:tc>
          <w:tcPr>
            <w:tcW w:w="706" w:type="dxa"/>
            <w:vAlign w:val="center"/>
          </w:tcPr>
          <w:p w:rsidR="00C4168A" w:rsidRPr="00E65E2A" w:rsidRDefault="00C4168A" w:rsidP="00C4168A">
            <w:pPr>
              <w:jc w:val="center"/>
              <w:rPr>
                <w:color w:val="000000"/>
                <w:szCs w:val="18"/>
              </w:rPr>
            </w:pPr>
            <w:r w:rsidRPr="00E65E2A">
              <w:rPr>
                <w:color w:val="000000"/>
                <w:szCs w:val="18"/>
              </w:rPr>
              <w:t>67,03</w:t>
            </w:r>
          </w:p>
        </w:tc>
        <w:tc>
          <w:tcPr>
            <w:tcW w:w="706" w:type="dxa"/>
            <w:vAlign w:val="center"/>
          </w:tcPr>
          <w:p w:rsidR="00C4168A" w:rsidRPr="00E65E2A" w:rsidRDefault="00C4168A" w:rsidP="00C4168A">
            <w:pPr>
              <w:jc w:val="center"/>
              <w:rPr>
                <w:color w:val="000000"/>
                <w:szCs w:val="18"/>
              </w:rPr>
            </w:pPr>
            <w:r w:rsidRPr="00E65E2A">
              <w:rPr>
                <w:color w:val="000000"/>
                <w:szCs w:val="18"/>
              </w:rPr>
              <w:t>71,25</w:t>
            </w:r>
          </w:p>
        </w:tc>
        <w:tc>
          <w:tcPr>
            <w:tcW w:w="707" w:type="dxa"/>
            <w:vAlign w:val="center"/>
          </w:tcPr>
          <w:p w:rsidR="00C4168A" w:rsidRPr="00E65E2A" w:rsidRDefault="00C4168A" w:rsidP="00C4168A">
            <w:pPr>
              <w:jc w:val="center"/>
              <w:rPr>
                <w:color w:val="000000"/>
                <w:szCs w:val="18"/>
              </w:rPr>
            </w:pPr>
            <w:r w:rsidRPr="00E65E2A">
              <w:rPr>
                <w:color w:val="000000"/>
                <w:szCs w:val="18"/>
              </w:rPr>
              <w:t>75,03</w:t>
            </w:r>
          </w:p>
        </w:tc>
      </w:tr>
    </w:tbl>
    <w:p w:rsidR="008C3851" w:rsidRPr="00E65E2A" w:rsidRDefault="008C3851" w:rsidP="001F2CA8">
      <w:pPr>
        <w:widowControl w:val="0"/>
        <w:spacing w:before="120" w:line="288" w:lineRule="auto"/>
        <w:ind w:firstLine="709"/>
        <w:jc w:val="both"/>
        <w:rPr>
          <w:bCs/>
          <w:sz w:val="26"/>
          <w:szCs w:val="26"/>
        </w:rPr>
      </w:pPr>
      <w:r w:rsidRPr="00E65E2A">
        <w:rPr>
          <w:sz w:val="26"/>
          <w:szCs w:val="26"/>
        </w:rPr>
        <w:t>По Ненецкому автономному округу</w:t>
      </w:r>
      <w:r w:rsidR="00EF0CF8" w:rsidRPr="00E65E2A">
        <w:rPr>
          <w:sz w:val="26"/>
          <w:szCs w:val="26"/>
        </w:rPr>
        <w:t xml:space="preserve"> </w:t>
      </w:r>
      <w:r w:rsidRPr="00E65E2A">
        <w:rPr>
          <w:bCs/>
          <w:sz w:val="26"/>
          <w:szCs w:val="26"/>
        </w:rPr>
        <w:t>прогноз</w:t>
      </w:r>
      <w:r w:rsidR="00EF0CF8" w:rsidRPr="00E65E2A">
        <w:rPr>
          <w:bCs/>
          <w:sz w:val="26"/>
          <w:szCs w:val="26"/>
        </w:rPr>
        <w:t xml:space="preserve"> </w:t>
      </w:r>
      <w:r w:rsidRPr="00E65E2A">
        <w:rPr>
          <w:sz w:val="26"/>
          <w:szCs w:val="26"/>
        </w:rPr>
        <w:t>разработан с уч</w:t>
      </w:r>
      <w:r w:rsidR="00D81D30" w:rsidRPr="00E65E2A">
        <w:rPr>
          <w:sz w:val="26"/>
          <w:szCs w:val="26"/>
        </w:rPr>
        <w:t>е</w:t>
      </w:r>
      <w:r w:rsidRPr="00E65E2A">
        <w:rPr>
          <w:sz w:val="26"/>
          <w:szCs w:val="26"/>
        </w:rPr>
        <w:t xml:space="preserve">том </w:t>
      </w:r>
      <w:r w:rsidRPr="00E65E2A">
        <w:rPr>
          <w:bCs/>
          <w:sz w:val="26"/>
          <w:szCs w:val="26"/>
        </w:rPr>
        <w:t xml:space="preserve">изменений мировых цен на российскую нефть марки </w:t>
      </w:r>
      <w:r w:rsidRPr="00E65E2A">
        <w:rPr>
          <w:bCs/>
          <w:sz w:val="26"/>
          <w:szCs w:val="26"/>
          <w:lang w:val="en-US"/>
        </w:rPr>
        <w:t>Urals</w:t>
      </w:r>
      <w:r w:rsidRPr="00E65E2A">
        <w:rPr>
          <w:bCs/>
          <w:sz w:val="26"/>
          <w:szCs w:val="26"/>
        </w:rPr>
        <w:t>, среднегодового курса доллара (согласно сценарным условиям Министерства экономического развития Российской Федерации):</w:t>
      </w:r>
    </w:p>
    <w:tbl>
      <w:tblPr>
        <w:tblStyle w:val="ac"/>
        <w:tblW w:w="0" w:type="auto"/>
        <w:tblLook w:val="04A0"/>
      </w:tblPr>
      <w:tblGrid>
        <w:gridCol w:w="2234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C4168A" w:rsidRPr="003626D9" w:rsidTr="00DC7A84">
        <w:tc>
          <w:tcPr>
            <w:tcW w:w="2234" w:type="dxa"/>
            <w:vMerge w:val="restart"/>
            <w:vAlign w:val="center"/>
          </w:tcPr>
          <w:p w:rsidR="00C4168A" w:rsidRPr="00E65E2A" w:rsidRDefault="00C4168A" w:rsidP="00C4168A">
            <w:pPr>
              <w:jc w:val="center"/>
            </w:pPr>
            <w:r w:rsidRPr="00E65E2A">
              <w:t>Показатель</w:t>
            </w:r>
          </w:p>
        </w:tc>
        <w:tc>
          <w:tcPr>
            <w:tcW w:w="711" w:type="dxa"/>
            <w:vMerge w:val="restart"/>
            <w:vAlign w:val="center"/>
          </w:tcPr>
          <w:p w:rsidR="00C4168A" w:rsidRPr="00E65E2A" w:rsidRDefault="00C4168A" w:rsidP="00C4168A">
            <w:pPr>
              <w:jc w:val="center"/>
            </w:pPr>
            <w:r w:rsidRPr="00E65E2A">
              <w:t>2018 год</w:t>
            </w:r>
          </w:p>
        </w:tc>
        <w:tc>
          <w:tcPr>
            <w:tcW w:w="2133" w:type="dxa"/>
            <w:gridSpan w:val="3"/>
            <w:vAlign w:val="center"/>
          </w:tcPr>
          <w:p w:rsidR="00C4168A" w:rsidRPr="00E65E2A" w:rsidRDefault="00C4168A" w:rsidP="00C4168A">
            <w:pPr>
              <w:jc w:val="center"/>
            </w:pPr>
            <w:r w:rsidRPr="00E65E2A">
              <w:t>2019 год</w:t>
            </w:r>
          </w:p>
        </w:tc>
        <w:tc>
          <w:tcPr>
            <w:tcW w:w="2133" w:type="dxa"/>
            <w:gridSpan w:val="3"/>
            <w:vAlign w:val="center"/>
          </w:tcPr>
          <w:p w:rsidR="00C4168A" w:rsidRPr="00E65E2A" w:rsidRDefault="00C4168A" w:rsidP="00C4168A">
            <w:pPr>
              <w:jc w:val="center"/>
            </w:pPr>
            <w:r w:rsidRPr="00E65E2A">
              <w:t>2020 год</w:t>
            </w:r>
          </w:p>
        </w:tc>
        <w:tc>
          <w:tcPr>
            <w:tcW w:w="2133" w:type="dxa"/>
            <w:gridSpan w:val="3"/>
            <w:vAlign w:val="center"/>
          </w:tcPr>
          <w:p w:rsidR="00C4168A" w:rsidRPr="00E65E2A" w:rsidRDefault="00C4168A" w:rsidP="00C4168A">
            <w:pPr>
              <w:jc w:val="center"/>
            </w:pPr>
            <w:r w:rsidRPr="00E65E2A">
              <w:t>2021 год</w:t>
            </w:r>
          </w:p>
        </w:tc>
      </w:tr>
      <w:tr w:rsidR="0038568F" w:rsidRPr="003626D9" w:rsidTr="00DC7A84">
        <w:tc>
          <w:tcPr>
            <w:tcW w:w="2234" w:type="dxa"/>
            <w:vMerge/>
          </w:tcPr>
          <w:p w:rsidR="0038568F" w:rsidRPr="00E65E2A" w:rsidRDefault="0038568F" w:rsidP="009610F2">
            <w:pPr>
              <w:jc w:val="both"/>
            </w:pPr>
          </w:p>
        </w:tc>
        <w:tc>
          <w:tcPr>
            <w:tcW w:w="711" w:type="dxa"/>
            <w:vMerge/>
          </w:tcPr>
          <w:p w:rsidR="0038568F" w:rsidRPr="00E65E2A" w:rsidRDefault="0038568F" w:rsidP="009610F2">
            <w:pPr>
              <w:jc w:val="both"/>
            </w:pPr>
          </w:p>
        </w:tc>
        <w:tc>
          <w:tcPr>
            <w:tcW w:w="711" w:type="dxa"/>
            <w:vAlign w:val="center"/>
          </w:tcPr>
          <w:p w:rsidR="0038568F" w:rsidRPr="00E65E2A" w:rsidRDefault="0038568F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1 вар.</w:t>
            </w:r>
          </w:p>
        </w:tc>
        <w:tc>
          <w:tcPr>
            <w:tcW w:w="711" w:type="dxa"/>
            <w:vAlign w:val="center"/>
          </w:tcPr>
          <w:p w:rsidR="0038568F" w:rsidRPr="00E65E2A" w:rsidRDefault="0038568F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2 вар.</w:t>
            </w:r>
          </w:p>
        </w:tc>
        <w:tc>
          <w:tcPr>
            <w:tcW w:w="711" w:type="dxa"/>
            <w:vAlign w:val="center"/>
          </w:tcPr>
          <w:p w:rsidR="0038568F" w:rsidRPr="00E65E2A" w:rsidRDefault="0038568F" w:rsidP="009610F2">
            <w:pPr>
              <w:jc w:val="center"/>
              <w:rPr>
                <w:sz w:val="20"/>
              </w:rPr>
            </w:pPr>
            <w:r w:rsidRPr="00E65E2A">
              <w:rPr>
                <w:spacing w:val="-6"/>
                <w:sz w:val="20"/>
              </w:rPr>
              <w:t>3 вар.</w:t>
            </w:r>
          </w:p>
        </w:tc>
        <w:tc>
          <w:tcPr>
            <w:tcW w:w="711" w:type="dxa"/>
            <w:vAlign w:val="center"/>
          </w:tcPr>
          <w:p w:rsidR="0038568F" w:rsidRPr="00E65E2A" w:rsidRDefault="0038568F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1 вар.</w:t>
            </w:r>
          </w:p>
        </w:tc>
        <w:tc>
          <w:tcPr>
            <w:tcW w:w="711" w:type="dxa"/>
            <w:vAlign w:val="center"/>
          </w:tcPr>
          <w:p w:rsidR="0038568F" w:rsidRPr="00E65E2A" w:rsidRDefault="0038568F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2 вар.</w:t>
            </w:r>
          </w:p>
        </w:tc>
        <w:tc>
          <w:tcPr>
            <w:tcW w:w="711" w:type="dxa"/>
            <w:vAlign w:val="center"/>
          </w:tcPr>
          <w:p w:rsidR="0038568F" w:rsidRPr="00E65E2A" w:rsidRDefault="0038568F" w:rsidP="009610F2">
            <w:pPr>
              <w:jc w:val="center"/>
              <w:rPr>
                <w:sz w:val="20"/>
              </w:rPr>
            </w:pPr>
            <w:r w:rsidRPr="00E65E2A">
              <w:rPr>
                <w:spacing w:val="-6"/>
                <w:sz w:val="20"/>
              </w:rPr>
              <w:t>3 вар.</w:t>
            </w:r>
          </w:p>
        </w:tc>
        <w:tc>
          <w:tcPr>
            <w:tcW w:w="711" w:type="dxa"/>
            <w:vAlign w:val="center"/>
          </w:tcPr>
          <w:p w:rsidR="0038568F" w:rsidRPr="00E65E2A" w:rsidRDefault="0038568F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1 вар.</w:t>
            </w:r>
          </w:p>
        </w:tc>
        <w:tc>
          <w:tcPr>
            <w:tcW w:w="711" w:type="dxa"/>
            <w:vAlign w:val="center"/>
          </w:tcPr>
          <w:p w:rsidR="0038568F" w:rsidRPr="00E65E2A" w:rsidRDefault="0038568F" w:rsidP="009610F2">
            <w:pPr>
              <w:jc w:val="center"/>
              <w:rPr>
                <w:spacing w:val="-6"/>
                <w:sz w:val="20"/>
              </w:rPr>
            </w:pPr>
            <w:r w:rsidRPr="00E65E2A">
              <w:rPr>
                <w:spacing w:val="-6"/>
                <w:sz w:val="20"/>
              </w:rPr>
              <w:t>2 вар.</w:t>
            </w:r>
          </w:p>
        </w:tc>
        <w:tc>
          <w:tcPr>
            <w:tcW w:w="711" w:type="dxa"/>
            <w:vAlign w:val="center"/>
          </w:tcPr>
          <w:p w:rsidR="0038568F" w:rsidRPr="00E65E2A" w:rsidRDefault="0038568F" w:rsidP="009610F2">
            <w:pPr>
              <w:jc w:val="center"/>
              <w:rPr>
                <w:sz w:val="20"/>
              </w:rPr>
            </w:pPr>
            <w:r w:rsidRPr="00E65E2A">
              <w:rPr>
                <w:spacing w:val="-6"/>
                <w:sz w:val="20"/>
              </w:rPr>
              <w:t>3 вар.</w:t>
            </w:r>
          </w:p>
        </w:tc>
      </w:tr>
      <w:tr w:rsidR="00DC7A84" w:rsidRPr="003626D9" w:rsidTr="00DC7A84">
        <w:tc>
          <w:tcPr>
            <w:tcW w:w="2234" w:type="dxa"/>
          </w:tcPr>
          <w:p w:rsidR="00DC7A84" w:rsidRPr="00E65E2A" w:rsidRDefault="00DC7A84" w:rsidP="00DC7A84">
            <w:r w:rsidRPr="00E65E2A">
              <w:t>Прибыль прибыльных организаций, млрд. рублей, в том числе: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58,19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59,41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62,67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64,01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61,25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69,31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71,11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62,11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73,19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75,45</w:t>
            </w:r>
          </w:p>
        </w:tc>
      </w:tr>
      <w:tr w:rsidR="00DC7A84" w:rsidRPr="003626D9" w:rsidTr="00DC7A84">
        <w:tc>
          <w:tcPr>
            <w:tcW w:w="2234" w:type="dxa"/>
          </w:tcPr>
          <w:p w:rsidR="00DC7A84" w:rsidRPr="00E65E2A" w:rsidRDefault="00DC7A84" w:rsidP="00DC7A84">
            <w:pPr>
              <w:jc w:val="right"/>
            </w:pPr>
            <w:r w:rsidRPr="00E65E2A">
              <w:rPr>
                <w:szCs w:val="26"/>
              </w:rPr>
              <w:t xml:space="preserve">прибыль организаций </w:t>
            </w:r>
            <w:r w:rsidRPr="00E65E2A">
              <w:rPr>
                <w:szCs w:val="26"/>
              </w:rPr>
              <w:br/>
              <w:t xml:space="preserve">при выполнении соглашений </w:t>
            </w:r>
            <w:r w:rsidRPr="00E65E2A">
              <w:rPr>
                <w:szCs w:val="26"/>
              </w:rPr>
              <w:br/>
            </w:r>
            <w:r>
              <w:rPr>
                <w:szCs w:val="26"/>
              </w:rPr>
              <w:t xml:space="preserve">о </w:t>
            </w:r>
            <w:r w:rsidRPr="00E65E2A">
              <w:rPr>
                <w:szCs w:val="26"/>
              </w:rPr>
              <w:t>разделе продукции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8,30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6,00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7,00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10,00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5,80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6,40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7,00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6,90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7,20</w:t>
            </w:r>
          </w:p>
        </w:tc>
        <w:tc>
          <w:tcPr>
            <w:tcW w:w="711" w:type="dxa"/>
            <w:vAlign w:val="center"/>
          </w:tcPr>
          <w:p w:rsidR="00DC7A84" w:rsidRPr="00DC7A84" w:rsidRDefault="00DC7A84" w:rsidP="00DC7A84">
            <w:pPr>
              <w:jc w:val="center"/>
              <w:rPr>
                <w:color w:val="000000"/>
                <w:szCs w:val="18"/>
              </w:rPr>
            </w:pPr>
            <w:r w:rsidRPr="00DC7A84">
              <w:rPr>
                <w:color w:val="000000"/>
                <w:szCs w:val="18"/>
              </w:rPr>
              <w:t>8,00</w:t>
            </w:r>
          </w:p>
        </w:tc>
      </w:tr>
    </w:tbl>
    <w:p w:rsidR="00141125" w:rsidRPr="00B5442D" w:rsidRDefault="00141125" w:rsidP="00141125">
      <w:pPr>
        <w:pStyle w:val="1"/>
        <w:spacing w:before="120" w:after="0"/>
        <w:rPr>
          <w:szCs w:val="26"/>
        </w:rPr>
      </w:pPr>
      <w:r w:rsidRPr="00B5442D">
        <w:rPr>
          <w:szCs w:val="26"/>
        </w:rPr>
        <w:t>Денежные доходы и расходы населения.</w:t>
      </w:r>
    </w:p>
    <w:p w:rsidR="00141125" w:rsidRPr="00B5442D" w:rsidRDefault="00141125" w:rsidP="00141125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5442D">
        <w:rPr>
          <w:rFonts w:eastAsia="Calibri"/>
          <w:sz w:val="26"/>
          <w:szCs w:val="26"/>
          <w:lang w:eastAsia="en-US"/>
        </w:rPr>
        <w:t xml:space="preserve">Денежные доходы населения в 2017 году составили 428,9 млрд. рублей. </w:t>
      </w:r>
      <w:r w:rsidRPr="00B5442D">
        <w:rPr>
          <w:rFonts w:eastAsia="Calibri"/>
          <w:sz w:val="26"/>
          <w:szCs w:val="26"/>
          <w:lang w:eastAsia="en-US"/>
        </w:rPr>
        <w:br/>
        <w:t>В 2018 году денежные доходы населения оцениваются на уровне</w:t>
      </w:r>
      <w:r w:rsidRPr="00B5442D">
        <w:rPr>
          <w:rFonts w:eastAsia="Calibri"/>
          <w:sz w:val="26"/>
          <w:szCs w:val="26"/>
          <w:lang w:eastAsia="en-US"/>
        </w:rPr>
        <w:br/>
        <w:t>438,7 млрд. рублей, при этом предполагается, что реальные денежные доходы</w:t>
      </w:r>
      <w:r w:rsidRPr="00B5442D">
        <w:rPr>
          <w:rFonts w:eastAsia="Calibri"/>
          <w:sz w:val="26"/>
          <w:szCs w:val="26"/>
          <w:lang w:eastAsia="en-US"/>
        </w:rPr>
        <w:br/>
        <w:t xml:space="preserve">с учетом мер, направляемых на их поддержание и рост, составят 100,2%. </w:t>
      </w:r>
    </w:p>
    <w:p w:rsidR="00141125" w:rsidRPr="00B5442D" w:rsidRDefault="00141125" w:rsidP="00141125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5442D">
        <w:rPr>
          <w:rFonts w:eastAsia="Calibri"/>
          <w:sz w:val="26"/>
          <w:szCs w:val="26"/>
          <w:lang w:eastAsia="en-US"/>
        </w:rPr>
        <w:t>Объем денежных доходов в 2019 году составит по базовому варианту прогноза 457,5 млрд. рублей, в 202</w:t>
      </w:r>
      <w:r w:rsidR="00B5442D" w:rsidRPr="00B5442D">
        <w:rPr>
          <w:rFonts w:eastAsia="Calibri"/>
          <w:sz w:val="26"/>
          <w:szCs w:val="26"/>
          <w:lang w:eastAsia="en-US"/>
        </w:rPr>
        <w:t>1</w:t>
      </w:r>
      <w:r w:rsidRPr="00B5442D">
        <w:rPr>
          <w:rFonts w:eastAsia="Calibri"/>
          <w:sz w:val="26"/>
          <w:szCs w:val="26"/>
          <w:lang w:eastAsia="en-US"/>
        </w:rPr>
        <w:t xml:space="preserve"> году – </w:t>
      </w:r>
      <w:r w:rsidR="00B5442D" w:rsidRPr="00B5442D">
        <w:rPr>
          <w:rFonts w:eastAsia="Calibri"/>
          <w:sz w:val="26"/>
          <w:szCs w:val="26"/>
          <w:lang w:eastAsia="en-US"/>
        </w:rPr>
        <w:t>500,4</w:t>
      </w:r>
      <w:r w:rsidRPr="00B5442D">
        <w:rPr>
          <w:rFonts w:eastAsia="Calibri"/>
          <w:sz w:val="26"/>
          <w:szCs w:val="26"/>
          <w:lang w:eastAsia="en-US"/>
        </w:rPr>
        <w:t xml:space="preserve"> млрд. рублей.</w:t>
      </w:r>
    </w:p>
    <w:p w:rsidR="00141125" w:rsidRPr="00B5442D" w:rsidRDefault="00141125" w:rsidP="00141125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5442D">
        <w:rPr>
          <w:rFonts w:eastAsia="Calibri"/>
          <w:sz w:val="26"/>
          <w:szCs w:val="26"/>
          <w:lang w:eastAsia="en-US"/>
        </w:rPr>
        <w:t xml:space="preserve">Расходы населения в 2017 году составили 423,1 млрд. рублей. </w:t>
      </w:r>
      <w:r w:rsidRPr="00B5442D">
        <w:rPr>
          <w:rFonts w:eastAsia="Calibri"/>
          <w:spacing w:val="-4"/>
          <w:sz w:val="26"/>
          <w:szCs w:val="26"/>
          <w:lang w:eastAsia="en-US"/>
        </w:rPr>
        <w:t xml:space="preserve">По базовому варианту прогноза в 2019 году расходы населения достигнут 451,1 млрд. рублей. </w:t>
      </w:r>
      <w:r w:rsidRPr="00B5442D">
        <w:rPr>
          <w:rFonts w:eastAsia="Calibri"/>
          <w:spacing w:val="-4"/>
          <w:sz w:val="26"/>
          <w:szCs w:val="26"/>
          <w:lang w:eastAsia="en-US"/>
        </w:rPr>
        <w:br/>
        <w:t>При этом на покупку товаров и оплату услуг будет израсходовано 353,7</w:t>
      </w:r>
      <w:r w:rsidRPr="00B5442D">
        <w:rPr>
          <w:rFonts w:eastAsia="Calibri"/>
          <w:sz w:val="26"/>
          <w:szCs w:val="26"/>
          <w:lang w:eastAsia="en-US"/>
        </w:rPr>
        <w:t xml:space="preserve"> млрд. рублей</w:t>
      </w:r>
      <w:r w:rsidRPr="00B5442D">
        <w:rPr>
          <w:rFonts w:eastAsia="Calibri"/>
          <w:spacing w:val="-4"/>
          <w:sz w:val="26"/>
          <w:szCs w:val="26"/>
          <w:lang w:eastAsia="en-US"/>
        </w:rPr>
        <w:t xml:space="preserve"> (77,3% от общего объема денежных доходов), уплату налогов и взносов –</w:t>
      </w:r>
      <w:r w:rsidRPr="00B5442D">
        <w:rPr>
          <w:rFonts w:eastAsia="Calibri"/>
          <w:spacing w:val="-4"/>
          <w:sz w:val="26"/>
          <w:szCs w:val="26"/>
          <w:lang w:eastAsia="en-US"/>
        </w:rPr>
        <w:br/>
        <w:t>57,6</w:t>
      </w:r>
      <w:r w:rsidRPr="00B5442D">
        <w:rPr>
          <w:rFonts w:eastAsia="Calibri"/>
          <w:sz w:val="26"/>
          <w:szCs w:val="26"/>
          <w:lang w:eastAsia="en-US"/>
        </w:rPr>
        <w:t xml:space="preserve"> млрд. рублей</w:t>
      </w:r>
      <w:r w:rsidRPr="00B5442D">
        <w:rPr>
          <w:rFonts w:eastAsia="Calibri"/>
          <w:spacing w:val="-4"/>
          <w:sz w:val="26"/>
          <w:szCs w:val="26"/>
          <w:lang w:eastAsia="en-US"/>
        </w:rPr>
        <w:t xml:space="preserve"> (12,6%).</w:t>
      </w:r>
    </w:p>
    <w:p w:rsidR="00141125" w:rsidRPr="00B5442D" w:rsidRDefault="00141125" w:rsidP="00141125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5442D">
        <w:rPr>
          <w:rFonts w:eastAsia="Calibri"/>
          <w:sz w:val="26"/>
          <w:szCs w:val="26"/>
          <w:lang w:eastAsia="en-US"/>
        </w:rPr>
        <w:t>В 2021 году расходы населения на покупку товаров и оплату услуг</w:t>
      </w:r>
      <w:r w:rsidRPr="00B5442D">
        <w:rPr>
          <w:rFonts w:eastAsia="Calibri"/>
          <w:sz w:val="26"/>
          <w:szCs w:val="26"/>
          <w:lang w:eastAsia="en-US"/>
        </w:rPr>
        <w:br/>
        <w:t>по базовому варианту вырастут до 396,8 млрд. рублей, на уплату налогов и взносов до 60,0 млрд. рублей.</w:t>
      </w:r>
    </w:p>
    <w:p w:rsidR="00141125" w:rsidRPr="00B5442D" w:rsidRDefault="00141125" w:rsidP="00141125">
      <w:pPr>
        <w:spacing w:line="288" w:lineRule="auto"/>
        <w:ind w:firstLine="709"/>
        <w:jc w:val="both"/>
        <w:rPr>
          <w:sz w:val="26"/>
          <w:szCs w:val="26"/>
        </w:rPr>
      </w:pPr>
      <w:r w:rsidRPr="00B5442D">
        <w:rPr>
          <w:color w:val="000000"/>
          <w:sz w:val="26"/>
          <w:szCs w:val="26"/>
        </w:rPr>
        <w:lastRenderedPageBreak/>
        <w:t xml:space="preserve">В целом по области величина прожиточного минимума на душу населения </w:t>
      </w:r>
      <w:r w:rsidRPr="00B5442D">
        <w:rPr>
          <w:color w:val="000000"/>
          <w:sz w:val="26"/>
          <w:szCs w:val="26"/>
        </w:rPr>
        <w:br/>
        <w:t>за 2017 год составила 11 700 рублей. В</w:t>
      </w:r>
      <w:r w:rsidRPr="00B5442D">
        <w:rPr>
          <w:sz w:val="26"/>
          <w:szCs w:val="26"/>
        </w:rPr>
        <w:t xml:space="preserve"> 201</w:t>
      </w:r>
      <w:r w:rsidR="00B5442D" w:rsidRPr="00B5442D">
        <w:rPr>
          <w:sz w:val="26"/>
          <w:szCs w:val="26"/>
        </w:rPr>
        <w:t>9</w:t>
      </w:r>
      <w:r w:rsidRPr="00B5442D">
        <w:rPr>
          <w:sz w:val="26"/>
          <w:szCs w:val="26"/>
        </w:rPr>
        <w:t xml:space="preserve"> году по базовому варианту прожиточный минимум составит 12 508 рублей, а в 2021 году – 13 477 рублей.</w:t>
      </w:r>
    </w:p>
    <w:p w:rsidR="00141125" w:rsidRPr="00B5442D" w:rsidRDefault="00141125" w:rsidP="00141125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5442D">
        <w:rPr>
          <w:rFonts w:eastAsia="Calibri"/>
          <w:sz w:val="26"/>
          <w:szCs w:val="26"/>
          <w:lang w:eastAsia="en-US"/>
        </w:rPr>
        <w:t>Численность населения с денежными доходами ниже прожиточного минимума в 2017 году составила 14,1%. В 2018 году доля населения с доходами ниже прожиточного минимума составит – 13,</w:t>
      </w:r>
      <w:r w:rsidR="00B5442D" w:rsidRPr="00B5442D">
        <w:rPr>
          <w:rFonts w:eastAsia="Calibri"/>
          <w:sz w:val="26"/>
          <w:szCs w:val="26"/>
          <w:lang w:eastAsia="en-US"/>
        </w:rPr>
        <w:t>8</w:t>
      </w:r>
      <w:r w:rsidRPr="00B5442D">
        <w:rPr>
          <w:rFonts w:eastAsia="Calibri"/>
          <w:sz w:val="26"/>
          <w:szCs w:val="26"/>
          <w:lang w:eastAsia="en-US"/>
        </w:rPr>
        <w:t>%. В результате постепенного роста всех видов доходов и их реального содержания ожидается снижение доли населения</w:t>
      </w:r>
      <w:r w:rsidRPr="00B5442D">
        <w:rPr>
          <w:rFonts w:eastAsia="Calibri"/>
          <w:sz w:val="26"/>
          <w:szCs w:val="26"/>
          <w:lang w:eastAsia="en-US"/>
        </w:rPr>
        <w:br/>
        <w:t>с доходами ниже прожиточного минимума по базовому варианту прогноза</w:t>
      </w:r>
      <w:r w:rsidRPr="00B5442D">
        <w:rPr>
          <w:rFonts w:eastAsia="Calibri"/>
          <w:sz w:val="26"/>
          <w:szCs w:val="26"/>
          <w:lang w:eastAsia="en-US"/>
        </w:rPr>
        <w:br/>
        <w:t>к 2019 году до 13,5%, а к 2021 году – до 13,1%.</w:t>
      </w:r>
    </w:p>
    <w:p w:rsidR="00FD38BB" w:rsidRPr="00B5442D" w:rsidRDefault="00FD38BB" w:rsidP="00FD38BB">
      <w:pPr>
        <w:keepNext/>
        <w:keepLines/>
        <w:spacing w:before="120" w:line="276" w:lineRule="auto"/>
        <w:ind w:firstLine="709"/>
        <w:outlineLvl w:val="0"/>
        <w:rPr>
          <w:rFonts w:eastAsiaTheme="majorEastAsia" w:cstheme="majorBidi"/>
          <w:b/>
          <w:bCs/>
          <w:color w:val="000000" w:themeColor="text1"/>
          <w:sz w:val="26"/>
          <w:szCs w:val="26"/>
        </w:rPr>
      </w:pPr>
      <w:r w:rsidRPr="00B5442D">
        <w:rPr>
          <w:rFonts w:eastAsiaTheme="majorEastAsia" w:cstheme="majorBidi"/>
          <w:b/>
          <w:bCs/>
          <w:color w:val="000000" w:themeColor="text1"/>
          <w:sz w:val="26"/>
          <w:szCs w:val="26"/>
        </w:rPr>
        <w:t>Численность работников и занятость.</w:t>
      </w:r>
    </w:p>
    <w:p w:rsidR="00FD38BB" w:rsidRPr="00B5442D" w:rsidRDefault="00FD38BB" w:rsidP="00FD38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5442D">
        <w:rPr>
          <w:sz w:val="26"/>
          <w:szCs w:val="26"/>
        </w:rPr>
        <w:t>Численность трудовых ресурсов в 2016 году составила по балансу трудовых ресурсов 645,1 тыс. человек, в 2017 году (по оценке) составит 640,1 тыс. человек. Прогнозируемое уменьшение численности насе</w:t>
      </w:r>
      <w:r w:rsidR="00362A41">
        <w:rPr>
          <w:sz w:val="26"/>
          <w:szCs w:val="26"/>
        </w:rPr>
        <w:t xml:space="preserve">ления трудоспособного возраста </w:t>
      </w:r>
      <w:r w:rsidRPr="00B5442D">
        <w:rPr>
          <w:sz w:val="26"/>
          <w:szCs w:val="26"/>
        </w:rPr>
        <w:t xml:space="preserve">приведет к уменьшению трудовых ресурсов к </w:t>
      </w:r>
      <w:r w:rsidR="00362A41">
        <w:rPr>
          <w:sz w:val="26"/>
          <w:szCs w:val="26"/>
        </w:rPr>
        <w:t>2019 году до 631,0 тыс. человек,</w:t>
      </w:r>
      <w:r w:rsidR="00362A41">
        <w:rPr>
          <w:sz w:val="26"/>
          <w:szCs w:val="26"/>
        </w:rPr>
        <w:br/>
        <w:t xml:space="preserve"> а в </w:t>
      </w:r>
      <w:r w:rsidRPr="00B5442D">
        <w:rPr>
          <w:sz w:val="26"/>
          <w:szCs w:val="26"/>
        </w:rPr>
        <w:t>2021 году</w:t>
      </w:r>
      <w:r w:rsidR="00362A41">
        <w:rPr>
          <w:sz w:val="26"/>
          <w:szCs w:val="26"/>
        </w:rPr>
        <w:t xml:space="preserve"> </w:t>
      </w:r>
      <w:r w:rsidR="00362A41" w:rsidRPr="00B5442D">
        <w:rPr>
          <w:sz w:val="26"/>
          <w:szCs w:val="26"/>
        </w:rPr>
        <w:t>по базовому варианту прогноза</w:t>
      </w:r>
      <w:r w:rsidR="00362A41">
        <w:rPr>
          <w:sz w:val="26"/>
          <w:szCs w:val="26"/>
        </w:rPr>
        <w:t xml:space="preserve"> снизится до </w:t>
      </w:r>
      <w:r w:rsidRPr="00B5442D">
        <w:rPr>
          <w:sz w:val="26"/>
          <w:szCs w:val="26"/>
        </w:rPr>
        <w:t>626,0 тыс. человек.</w:t>
      </w:r>
    </w:p>
    <w:p w:rsidR="00FD38BB" w:rsidRPr="008D5BC0" w:rsidRDefault="00FD38BB" w:rsidP="00FD38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D5BC0">
        <w:rPr>
          <w:sz w:val="26"/>
          <w:szCs w:val="26"/>
        </w:rPr>
        <w:t xml:space="preserve">Частично компенсировать сокращение удастся </w:t>
      </w:r>
      <w:r w:rsidR="008D5BC0">
        <w:rPr>
          <w:sz w:val="26"/>
          <w:szCs w:val="26"/>
        </w:rPr>
        <w:t>вовлечением населения за счет изменения границ пенсионного возраста.</w:t>
      </w:r>
    </w:p>
    <w:p w:rsidR="00FD38BB" w:rsidRPr="008D5BC0" w:rsidRDefault="00FD38BB" w:rsidP="00FD38B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D5BC0">
        <w:rPr>
          <w:sz w:val="26"/>
          <w:szCs w:val="26"/>
        </w:rPr>
        <w:t xml:space="preserve"> Среднегодовая численность занятых в экономике Архангельской области</w:t>
      </w:r>
      <w:r w:rsidRPr="008D5BC0">
        <w:rPr>
          <w:sz w:val="26"/>
          <w:szCs w:val="26"/>
        </w:rPr>
        <w:br/>
        <w:t>в 2017 году составила 510,4 тыс. человек (по оценке)</w:t>
      </w:r>
      <w:r w:rsidRPr="008D5BC0">
        <w:rPr>
          <w:rFonts w:eastAsia="Arial Unicode MS"/>
          <w:sz w:val="26"/>
          <w:szCs w:val="26"/>
        </w:rPr>
        <w:t xml:space="preserve">, </w:t>
      </w:r>
      <w:r w:rsidRPr="008D5BC0">
        <w:rPr>
          <w:color w:val="000000"/>
          <w:sz w:val="26"/>
          <w:szCs w:val="26"/>
        </w:rPr>
        <w:t>что на 0,8% ниже, чем</w:t>
      </w:r>
      <w:r w:rsidRPr="008D5BC0">
        <w:rPr>
          <w:color w:val="000000"/>
          <w:sz w:val="26"/>
          <w:szCs w:val="26"/>
        </w:rPr>
        <w:br/>
        <w:t xml:space="preserve">в 2016 году. </w:t>
      </w:r>
      <w:r w:rsidRPr="008D5BC0">
        <w:rPr>
          <w:rFonts w:eastAsia="Arial Unicode MS"/>
          <w:sz w:val="26"/>
          <w:szCs w:val="26"/>
        </w:rPr>
        <w:t xml:space="preserve">По </w:t>
      </w:r>
      <w:r w:rsidR="008D5BC0" w:rsidRPr="008D5BC0">
        <w:rPr>
          <w:rFonts w:eastAsia="Arial Unicode MS"/>
          <w:sz w:val="26"/>
          <w:szCs w:val="26"/>
        </w:rPr>
        <w:t>базовому</w:t>
      </w:r>
      <w:r w:rsidRPr="008D5BC0">
        <w:rPr>
          <w:rFonts w:eastAsia="Arial Unicode MS"/>
          <w:sz w:val="26"/>
          <w:szCs w:val="26"/>
        </w:rPr>
        <w:t xml:space="preserve"> варианту прогноза </w:t>
      </w:r>
      <w:r w:rsidR="008D5BC0" w:rsidRPr="008D5BC0">
        <w:rPr>
          <w:rFonts w:eastAsia="Arial Unicode MS"/>
          <w:sz w:val="26"/>
          <w:szCs w:val="26"/>
        </w:rPr>
        <w:t xml:space="preserve">к 2019 </w:t>
      </w:r>
      <w:r w:rsidRPr="008D5BC0">
        <w:rPr>
          <w:color w:val="000000"/>
          <w:sz w:val="26"/>
          <w:szCs w:val="26"/>
        </w:rPr>
        <w:t>году данный показатель составит 50</w:t>
      </w:r>
      <w:r w:rsidR="008D5BC0" w:rsidRPr="008D5BC0">
        <w:rPr>
          <w:color w:val="000000"/>
          <w:sz w:val="26"/>
          <w:szCs w:val="26"/>
        </w:rPr>
        <w:t>6</w:t>
      </w:r>
      <w:r w:rsidRPr="008D5BC0">
        <w:rPr>
          <w:color w:val="000000"/>
          <w:sz w:val="26"/>
          <w:szCs w:val="26"/>
        </w:rPr>
        <w:t xml:space="preserve">,0 тыс. человек </w:t>
      </w:r>
      <w:r w:rsidR="008D5BC0" w:rsidRPr="008D5BC0">
        <w:rPr>
          <w:color w:val="000000"/>
          <w:sz w:val="26"/>
          <w:szCs w:val="26"/>
        </w:rPr>
        <w:t>и 501,0 тыс. человек к 2021 году</w:t>
      </w:r>
      <w:r w:rsidRPr="008D5BC0">
        <w:rPr>
          <w:color w:val="000000"/>
          <w:sz w:val="26"/>
          <w:szCs w:val="26"/>
        </w:rPr>
        <w:t xml:space="preserve">. </w:t>
      </w:r>
    </w:p>
    <w:p w:rsidR="00FD38BB" w:rsidRPr="0084555A" w:rsidRDefault="00FD38BB" w:rsidP="00FD38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555A">
        <w:rPr>
          <w:sz w:val="26"/>
          <w:szCs w:val="26"/>
        </w:rPr>
        <w:t>Общая численность безработных</w:t>
      </w:r>
      <w:r w:rsidR="00AE1936" w:rsidRPr="0084555A">
        <w:rPr>
          <w:sz w:val="26"/>
          <w:szCs w:val="26"/>
        </w:rPr>
        <w:t xml:space="preserve"> </w:t>
      </w:r>
      <w:r w:rsidRPr="0084555A">
        <w:rPr>
          <w:sz w:val="26"/>
          <w:szCs w:val="26"/>
        </w:rPr>
        <w:t xml:space="preserve">граждан </w:t>
      </w:r>
      <w:r w:rsidR="00AE1936" w:rsidRPr="0084555A">
        <w:rPr>
          <w:sz w:val="26"/>
          <w:szCs w:val="26"/>
        </w:rPr>
        <w:t xml:space="preserve">по методологии Международной Организации Труда </w:t>
      </w:r>
      <w:r w:rsidRPr="0084555A">
        <w:rPr>
          <w:sz w:val="26"/>
          <w:szCs w:val="26"/>
        </w:rPr>
        <w:t>в среднем за 2017 год, составила</w:t>
      </w:r>
      <w:r w:rsidR="00AE1936" w:rsidRPr="0084555A">
        <w:rPr>
          <w:sz w:val="26"/>
          <w:szCs w:val="26"/>
        </w:rPr>
        <w:t xml:space="preserve"> </w:t>
      </w:r>
      <w:r w:rsidRPr="0084555A">
        <w:rPr>
          <w:sz w:val="26"/>
          <w:szCs w:val="26"/>
        </w:rPr>
        <w:t>36,2 тыс. человек, уровень общей безработицы – 6,4 % к численности рабочей силы, что ниже показателей</w:t>
      </w:r>
      <w:r w:rsidR="00AE1936" w:rsidRPr="0084555A">
        <w:rPr>
          <w:sz w:val="26"/>
          <w:szCs w:val="26"/>
        </w:rPr>
        <w:br/>
      </w:r>
      <w:r w:rsidRPr="0084555A">
        <w:rPr>
          <w:sz w:val="26"/>
          <w:szCs w:val="26"/>
        </w:rPr>
        <w:t>за 2016 год</w:t>
      </w:r>
      <w:r w:rsidR="00AE1936" w:rsidRPr="0084555A">
        <w:rPr>
          <w:sz w:val="26"/>
          <w:szCs w:val="26"/>
        </w:rPr>
        <w:t xml:space="preserve">. Составляющих – </w:t>
      </w:r>
      <w:r w:rsidRPr="0084555A">
        <w:rPr>
          <w:sz w:val="26"/>
          <w:szCs w:val="26"/>
        </w:rPr>
        <w:t>40,2 тыс. человек и 7,1 %).</w:t>
      </w:r>
    </w:p>
    <w:p w:rsidR="00FD38BB" w:rsidRPr="0084555A" w:rsidRDefault="00FD38BB" w:rsidP="00FD38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555A">
        <w:rPr>
          <w:sz w:val="26"/>
          <w:szCs w:val="26"/>
        </w:rPr>
        <w:t xml:space="preserve">В 2018 </w:t>
      </w:r>
      <w:r w:rsidR="00AE1936" w:rsidRPr="0084555A">
        <w:rPr>
          <w:sz w:val="26"/>
          <w:szCs w:val="26"/>
        </w:rPr>
        <w:t>и 2019 годах</w:t>
      </w:r>
      <w:r w:rsidRPr="0084555A">
        <w:rPr>
          <w:sz w:val="26"/>
          <w:szCs w:val="26"/>
        </w:rPr>
        <w:t xml:space="preserve"> </w:t>
      </w:r>
      <w:r w:rsidR="00AE1936" w:rsidRPr="0084555A">
        <w:rPr>
          <w:sz w:val="26"/>
          <w:szCs w:val="26"/>
        </w:rPr>
        <w:t xml:space="preserve">уровень </w:t>
      </w:r>
      <w:r w:rsidRPr="0084555A">
        <w:rPr>
          <w:sz w:val="26"/>
          <w:szCs w:val="26"/>
        </w:rPr>
        <w:t>общ</w:t>
      </w:r>
      <w:r w:rsidR="00AE1936" w:rsidRPr="0084555A">
        <w:rPr>
          <w:sz w:val="26"/>
          <w:szCs w:val="26"/>
        </w:rPr>
        <w:t xml:space="preserve">ей численности </w:t>
      </w:r>
      <w:r w:rsidRPr="0084555A">
        <w:rPr>
          <w:sz w:val="26"/>
          <w:szCs w:val="26"/>
        </w:rPr>
        <w:t>безработ</w:t>
      </w:r>
      <w:r w:rsidR="00AE1936" w:rsidRPr="0084555A">
        <w:rPr>
          <w:sz w:val="26"/>
          <w:szCs w:val="26"/>
        </w:rPr>
        <w:t>ных сохранится</w:t>
      </w:r>
      <w:r w:rsidR="0084555A" w:rsidRPr="0084555A">
        <w:rPr>
          <w:sz w:val="26"/>
          <w:szCs w:val="26"/>
        </w:rPr>
        <w:br/>
      </w:r>
      <w:r w:rsidR="00AE1936" w:rsidRPr="0084555A">
        <w:rPr>
          <w:sz w:val="26"/>
          <w:szCs w:val="26"/>
        </w:rPr>
        <w:t xml:space="preserve">на уровне 2017 года, а в </w:t>
      </w:r>
      <w:r w:rsidRPr="0084555A">
        <w:rPr>
          <w:sz w:val="26"/>
          <w:szCs w:val="26"/>
        </w:rPr>
        <w:t>202</w:t>
      </w:r>
      <w:r w:rsidR="00AE1936" w:rsidRPr="0084555A">
        <w:rPr>
          <w:sz w:val="26"/>
          <w:szCs w:val="26"/>
        </w:rPr>
        <w:t>1</w:t>
      </w:r>
      <w:r w:rsidRPr="0084555A">
        <w:rPr>
          <w:sz w:val="26"/>
          <w:szCs w:val="26"/>
        </w:rPr>
        <w:t xml:space="preserve"> году </w:t>
      </w:r>
      <w:r w:rsidR="00AE1936" w:rsidRPr="0084555A">
        <w:rPr>
          <w:sz w:val="26"/>
          <w:szCs w:val="26"/>
        </w:rPr>
        <w:t xml:space="preserve">снизится </w:t>
      </w:r>
      <w:r w:rsidRPr="0084555A">
        <w:rPr>
          <w:sz w:val="26"/>
          <w:szCs w:val="26"/>
        </w:rPr>
        <w:t xml:space="preserve">до 35,5 тыс. человек, или </w:t>
      </w:r>
      <w:r w:rsidR="0084555A" w:rsidRPr="0084555A">
        <w:rPr>
          <w:sz w:val="26"/>
          <w:szCs w:val="26"/>
        </w:rPr>
        <w:t xml:space="preserve">до </w:t>
      </w:r>
      <w:r w:rsidRPr="0084555A">
        <w:rPr>
          <w:sz w:val="26"/>
          <w:szCs w:val="26"/>
        </w:rPr>
        <w:t>6,3 %</w:t>
      </w:r>
      <w:r w:rsidR="0084555A" w:rsidRPr="0084555A">
        <w:rPr>
          <w:sz w:val="26"/>
          <w:szCs w:val="26"/>
        </w:rPr>
        <w:br/>
      </w:r>
      <w:r w:rsidR="00AE1936" w:rsidRPr="0084555A">
        <w:rPr>
          <w:sz w:val="26"/>
          <w:szCs w:val="26"/>
        </w:rPr>
        <w:t>к численности рабочей силы</w:t>
      </w:r>
      <w:r w:rsidRPr="0084555A">
        <w:rPr>
          <w:sz w:val="26"/>
          <w:szCs w:val="26"/>
        </w:rPr>
        <w:t xml:space="preserve">. </w:t>
      </w:r>
    </w:p>
    <w:p w:rsidR="00FD38BB" w:rsidRPr="009D42CF" w:rsidRDefault="00FD38BB" w:rsidP="00FD38B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D42CF">
        <w:rPr>
          <w:sz w:val="26"/>
          <w:szCs w:val="26"/>
        </w:rPr>
        <w:t xml:space="preserve">На конец 2017 года численность безработных граждан, зарегистрированных </w:t>
      </w:r>
      <w:r w:rsidRPr="009D42CF">
        <w:rPr>
          <w:sz w:val="26"/>
          <w:szCs w:val="26"/>
        </w:rPr>
        <w:br/>
        <w:t>в органах службы занятости Архангельской области, составила 8,57 тыс. человек, уровень регистрируемой безработицы – 1,5 % к численности рабочей силы. К концу 2018 года численность безработных ожидается на уровне</w:t>
      </w:r>
      <w:r w:rsidR="009D42CF" w:rsidRPr="009D42CF">
        <w:rPr>
          <w:sz w:val="26"/>
          <w:szCs w:val="26"/>
        </w:rPr>
        <w:t xml:space="preserve"> </w:t>
      </w:r>
      <w:r w:rsidRPr="009D42CF">
        <w:rPr>
          <w:sz w:val="26"/>
          <w:szCs w:val="26"/>
        </w:rPr>
        <w:t>8,46 тыс. человек, уровень безработицы – 1,5%. Численность зарегистрированных безработных, с учетом пролонгации мероприятий активной политики занятости, составит к концу 20</w:t>
      </w:r>
      <w:r w:rsidR="009D42CF" w:rsidRPr="009D42CF">
        <w:rPr>
          <w:sz w:val="26"/>
          <w:szCs w:val="26"/>
        </w:rPr>
        <w:t>19</w:t>
      </w:r>
      <w:r w:rsidRPr="009D42CF">
        <w:rPr>
          <w:sz w:val="26"/>
          <w:szCs w:val="26"/>
        </w:rPr>
        <w:t xml:space="preserve"> года 8,</w:t>
      </w:r>
      <w:r w:rsidR="009D42CF" w:rsidRPr="009D42CF">
        <w:rPr>
          <w:sz w:val="26"/>
          <w:szCs w:val="26"/>
        </w:rPr>
        <w:t>4 тыс. человек, к концу 2021 года</w:t>
      </w:r>
      <w:r w:rsidRPr="009D42CF">
        <w:rPr>
          <w:sz w:val="26"/>
          <w:szCs w:val="26"/>
        </w:rPr>
        <w:t xml:space="preserve"> – 8,</w:t>
      </w:r>
      <w:r w:rsidR="009D42CF" w:rsidRPr="009D42CF">
        <w:rPr>
          <w:sz w:val="26"/>
          <w:szCs w:val="26"/>
        </w:rPr>
        <w:t>25</w:t>
      </w:r>
      <w:r w:rsidRPr="009D42CF">
        <w:rPr>
          <w:sz w:val="26"/>
          <w:szCs w:val="26"/>
        </w:rPr>
        <w:t xml:space="preserve"> тыс. человек, уровень регистрируемой безработицы прогнозируется 1,</w:t>
      </w:r>
      <w:r w:rsidR="009D42CF" w:rsidRPr="009D42CF">
        <w:rPr>
          <w:sz w:val="26"/>
          <w:szCs w:val="26"/>
        </w:rPr>
        <w:t>49-1,47</w:t>
      </w:r>
      <w:r w:rsidRPr="009D42CF">
        <w:rPr>
          <w:sz w:val="26"/>
          <w:szCs w:val="26"/>
        </w:rPr>
        <w:t xml:space="preserve"> %</w:t>
      </w:r>
      <w:r w:rsidR="009D42CF" w:rsidRPr="009D42CF">
        <w:rPr>
          <w:sz w:val="26"/>
          <w:szCs w:val="26"/>
        </w:rPr>
        <w:t xml:space="preserve"> соответственно</w:t>
      </w:r>
      <w:r w:rsidRPr="009D42CF">
        <w:rPr>
          <w:sz w:val="26"/>
          <w:szCs w:val="26"/>
        </w:rPr>
        <w:t xml:space="preserve">. </w:t>
      </w:r>
    </w:p>
    <w:p w:rsidR="00FD38BB" w:rsidRPr="009D42CF" w:rsidRDefault="00FD38BB" w:rsidP="00FD38BB">
      <w:pPr>
        <w:keepNext/>
        <w:keepLines/>
        <w:spacing w:before="120" w:line="276" w:lineRule="auto"/>
        <w:ind w:firstLine="709"/>
        <w:outlineLvl w:val="1"/>
        <w:rPr>
          <w:rFonts w:eastAsiaTheme="majorEastAsia" w:cstheme="majorBidi"/>
          <w:b/>
          <w:bCs/>
          <w:sz w:val="26"/>
          <w:szCs w:val="26"/>
        </w:rPr>
      </w:pPr>
      <w:r w:rsidRPr="009D42CF">
        <w:rPr>
          <w:rFonts w:eastAsiaTheme="majorEastAsia" w:cstheme="majorBidi"/>
          <w:b/>
          <w:bCs/>
          <w:sz w:val="26"/>
          <w:szCs w:val="26"/>
        </w:rPr>
        <w:t>Фонд заработной платы.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D42CF">
        <w:rPr>
          <w:bCs/>
          <w:sz w:val="26"/>
          <w:szCs w:val="26"/>
        </w:rPr>
        <w:t>При подготовке прогноза по фонду заработной платы использованы: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D42CF">
        <w:rPr>
          <w:bCs/>
          <w:sz w:val="26"/>
          <w:szCs w:val="26"/>
        </w:rPr>
        <w:t>макроэкономические показатели базового варианта среднесрочного прогноза социально-экономического развития Российской Федерации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D42CF">
        <w:rPr>
          <w:bCs/>
          <w:sz w:val="26"/>
          <w:szCs w:val="26"/>
        </w:rPr>
        <w:lastRenderedPageBreak/>
        <w:t>материалы прогнозов социально-экономического развития городских округов и муниципальных районов Архангельской области;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sz w:val="26"/>
          <w:szCs w:val="26"/>
        </w:rPr>
      </w:pPr>
      <w:r w:rsidRPr="009D42CF">
        <w:rPr>
          <w:bCs/>
          <w:sz w:val="26"/>
          <w:szCs w:val="26"/>
        </w:rPr>
        <w:t>прогнозы, предоставленные организациями</w:t>
      </w:r>
      <w:r w:rsidRPr="009D42CF">
        <w:rPr>
          <w:sz w:val="26"/>
          <w:szCs w:val="26"/>
        </w:rPr>
        <w:t>, осуществляющими свою деятельность на территории Архангельской области, а также головными (управляющими) компаниями, чьи филиалы осуществляют свою деятельность</w:t>
      </w:r>
      <w:r w:rsidRPr="009D42CF">
        <w:rPr>
          <w:sz w:val="26"/>
          <w:szCs w:val="26"/>
        </w:rPr>
        <w:br/>
        <w:t>на территории области;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sz w:val="26"/>
          <w:szCs w:val="26"/>
        </w:rPr>
      </w:pPr>
      <w:r w:rsidRPr="009D42CF">
        <w:rPr>
          <w:sz w:val="26"/>
          <w:szCs w:val="26"/>
        </w:rPr>
        <w:t>прогнозы государственных внебюджетных фондов Российской Федерации;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sz w:val="26"/>
          <w:szCs w:val="26"/>
        </w:rPr>
      </w:pPr>
      <w:r w:rsidRPr="009D42CF">
        <w:rPr>
          <w:sz w:val="26"/>
          <w:szCs w:val="26"/>
        </w:rPr>
        <w:t>учреждениями банковской сферы;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sz w:val="26"/>
          <w:szCs w:val="26"/>
        </w:rPr>
      </w:pPr>
      <w:r w:rsidRPr="009D42CF">
        <w:rPr>
          <w:sz w:val="26"/>
          <w:szCs w:val="26"/>
        </w:rPr>
        <w:t xml:space="preserve">материалы прогнозов, предоставленные территориальными подразделениями федеральных органов государственной власти, 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sz w:val="26"/>
          <w:szCs w:val="26"/>
        </w:rPr>
      </w:pPr>
      <w:r w:rsidRPr="009D42CF">
        <w:rPr>
          <w:sz w:val="26"/>
          <w:szCs w:val="26"/>
        </w:rPr>
        <w:t>прогнозы исполнительных органов государственной власти Архангельской области по курируемым видам экономической деятельности.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D42CF">
        <w:rPr>
          <w:bCs/>
          <w:sz w:val="26"/>
          <w:szCs w:val="26"/>
        </w:rPr>
        <w:t>среднесрочный прогноз социально-экономического развития Ненецкого автономного округа;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sz w:val="26"/>
          <w:szCs w:val="26"/>
        </w:rPr>
      </w:pPr>
      <w:r w:rsidRPr="009D42CF">
        <w:rPr>
          <w:bCs/>
          <w:sz w:val="26"/>
          <w:szCs w:val="26"/>
        </w:rPr>
        <w:t>За 2017 год по данным Архангельскстата п</w:t>
      </w:r>
      <w:r w:rsidRPr="009D42CF">
        <w:rPr>
          <w:sz w:val="26"/>
          <w:szCs w:val="26"/>
        </w:rPr>
        <w:t xml:space="preserve">о полному кругу организаций Архангельской области </w:t>
      </w:r>
      <w:r w:rsidRPr="009D42CF">
        <w:rPr>
          <w:bCs/>
          <w:sz w:val="26"/>
          <w:szCs w:val="26"/>
        </w:rPr>
        <w:t xml:space="preserve">фонд заработной платы </w:t>
      </w:r>
      <w:r w:rsidRPr="009D42CF">
        <w:rPr>
          <w:sz w:val="26"/>
          <w:szCs w:val="26"/>
        </w:rPr>
        <w:t xml:space="preserve">составил 174,3 млрд. рублей. 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sz w:val="26"/>
          <w:szCs w:val="26"/>
        </w:rPr>
      </w:pPr>
      <w:r w:rsidRPr="009D42CF">
        <w:rPr>
          <w:sz w:val="26"/>
          <w:szCs w:val="26"/>
        </w:rPr>
        <w:t xml:space="preserve">Оценка и прогноз по фонду заработной платы (без учета субъектов малого предпринимательства) в разрезе муниципальных районов и городских округов выполнена исходя из данных Архангельскстата за 2017 год. Фонд заработной платы (без учета субъектов малого предпринимательства) за 2017 год составил </w:t>
      </w:r>
      <w:r w:rsidRPr="009D42CF">
        <w:rPr>
          <w:sz w:val="26"/>
          <w:szCs w:val="26"/>
        </w:rPr>
        <w:br/>
        <w:t>155,39 млрд. рублей (в 2016 году – 149,18 млрд. рублей).</w:t>
      </w:r>
    </w:p>
    <w:p w:rsidR="00FD38BB" w:rsidRPr="009D42CF" w:rsidRDefault="00FD38BB" w:rsidP="00FD38BB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D42CF">
        <w:rPr>
          <w:bCs/>
          <w:sz w:val="26"/>
          <w:szCs w:val="26"/>
        </w:rPr>
        <w:t>В целом за 2018 год фонд заработной платы по Архангельской области</w:t>
      </w:r>
      <w:r w:rsidRPr="009D42CF">
        <w:rPr>
          <w:bCs/>
          <w:sz w:val="26"/>
          <w:szCs w:val="26"/>
        </w:rPr>
        <w:br/>
        <w:t xml:space="preserve">по оценке составит 188,24 млрд. рублей с приростом к уровню 2017 года на 8%. </w:t>
      </w:r>
    </w:p>
    <w:p w:rsidR="00FD38BB" w:rsidRPr="00322566" w:rsidRDefault="00FD38BB" w:rsidP="00FD38BB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322566">
        <w:rPr>
          <w:bCs/>
          <w:sz w:val="26"/>
          <w:szCs w:val="26"/>
        </w:rPr>
        <w:t xml:space="preserve">При этом среднемесячная заработная плата в 2018 году возрастет на 9,0% </w:t>
      </w:r>
      <w:r w:rsidRPr="00322566">
        <w:rPr>
          <w:bCs/>
          <w:sz w:val="26"/>
          <w:szCs w:val="26"/>
        </w:rPr>
        <w:br/>
        <w:t xml:space="preserve">к уровню 2017 года, численность работников снизится на 0,9%. </w:t>
      </w:r>
    </w:p>
    <w:p w:rsidR="00FD38BB" w:rsidRPr="00322566" w:rsidRDefault="00FD38BB" w:rsidP="00FD38BB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22566">
        <w:rPr>
          <w:rFonts w:eastAsia="Calibri"/>
          <w:sz w:val="26"/>
          <w:szCs w:val="26"/>
          <w:lang w:eastAsia="en-US"/>
        </w:rPr>
        <w:t>В 2019 году фонд начисленной заработной платы по базовому варианту прогноза составит 196,1 млрд. рублей с приростом на 4,</w:t>
      </w:r>
      <w:r w:rsidR="00322566" w:rsidRPr="00322566">
        <w:rPr>
          <w:rFonts w:eastAsia="Calibri"/>
          <w:sz w:val="26"/>
          <w:szCs w:val="26"/>
          <w:lang w:eastAsia="en-US"/>
        </w:rPr>
        <w:t>2</w:t>
      </w:r>
      <w:r w:rsidRPr="00322566">
        <w:rPr>
          <w:rFonts w:eastAsia="Calibri"/>
          <w:sz w:val="26"/>
          <w:szCs w:val="26"/>
          <w:lang w:eastAsia="en-US"/>
        </w:rPr>
        <w:t xml:space="preserve">% к предыдущему году. </w:t>
      </w:r>
      <w:r w:rsidRPr="00322566">
        <w:rPr>
          <w:rFonts w:eastAsia="Calibri"/>
          <w:sz w:val="26"/>
          <w:szCs w:val="26"/>
          <w:lang w:eastAsia="en-US"/>
        </w:rPr>
        <w:br/>
        <w:t xml:space="preserve">В 2021 году фонд заработной платы по базовому варианту прогноза составит </w:t>
      </w:r>
      <w:r w:rsidRPr="00322566">
        <w:rPr>
          <w:rFonts w:eastAsia="Calibri"/>
          <w:sz w:val="26"/>
          <w:szCs w:val="26"/>
          <w:lang w:eastAsia="en-US"/>
        </w:rPr>
        <w:br/>
        <w:t xml:space="preserve">217,1 млрд. рублей. </w:t>
      </w:r>
    </w:p>
    <w:p w:rsidR="00FD38BB" w:rsidRPr="00322566" w:rsidRDefault="00FD38BB" w:rsidP="00FD38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22566">
        <w:rPr>
          <w:sz w:val="26"/>
          <w:szCs w:val="26"/>
        </w:rPr>
        <w:t>Прогноз величины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в Архангельской области составлен, исходя из прогнозируемого темпа роста заработной платы работников всех организаций, а также исходными параметрами базового варианта сценарных условий социально-экономического развития Российской Федерации.</w:t>
      </w:r>
    </w:p>
    <w:p w:rsidR="00FD38BB" w:rsidRPr="00737213" w:rsidRDefault="00FD38BB" w:rsidP="00FD38BB">
      <w:pPr>
        <w:spacing w:line="276" w:lineRule="auto"/>
        <w:ind w:firstLine="720"/>
        <w:jc w:val="both"/>
        <w:rPr>
          <w:sz w:val="26"/>
          <w:szCs w:val="26"/>
        </w:rPr>
      </w:pPr>
      <w:r w:rsidRPr="00737213">
        <w:rPr>
          <w:sz w:val="26"/>
          <w:szCs w:val="26"/>
        </w:rPr>
        <w:t xml:space="preserve">По прогнозу </w:t>
      </w:r>
      <w:r w:rsidR="00737213">
        <w:rPr>
          <w:sz w:val="26"/>
          <w:szCs w:val="26"/>
        </w:rPr>
        <w:t>А</w:t>
      </w:r>
      <w:r w:rsidRPr="00737213">
        <w:rPr>
          <w:sz w:val="26"/>
          <w:szCs w:val="26"/>
        </w:rPr>
        <w:t xml:space="preserve">дминистрации Ненецкого автономного округа </w:t>
      </w:r>
      <w:r w:rsidRPr="00737213">
        <w:rPr>
          <w:sz w:val="26"/>
          <w:szCs w:val="26"/>
        </w:rPr>
        <w:br/>
        <w:t xml:space="preserve">в 2019-2021 годах в округе предусматривается </w:t>
      </w:r>
      <w:r w:rsidR="00737213" w:rsidRPr="00737213">
        <w:rPr>
          <w:sz w:val="26"/>
          <w:szCs w:val="26"/>
        </w:rPr>
        <w:t xml:space="preserve">умеренный </w:t>
      </w:r>
      <w:r w:rsidRPr="00737213">
        <w:rPr>
          <w:sz w:val="26"/>
          <w:szCs w:val="26"/>
        </w:rPr>
        <w:t>рост численности работающих. В 2018 году среднегодовая численность работников по базовому варианту прогноза составит 30,1 тыс. человек и к 2021 году достигнет – 30,3 тыс. человек, при этом фонд заработной платы в 2018 году составит 29,0 млрд. рублей,</w:t>
      </w:r>
      <w:r w:rsidR="00A51DB0">
        <w:rPr>
          <w:sz w:val="26"/>
          <w:szCs w:val="26"/>
        </w:rPr>
        <w:br/>
      </w:r>
      <w:r w:rsidRPr="00737213">
        <w:rPr>
          <w:sz w:val="26"/>
          <w:szCs w:val="26"/>
        </w:rPr>
        <w:t xml:space="preserve">в 2021 году </w:t>
      </w:r>
      <w:r w:rsidRPr="00737213">
        <w:rPr>
          <w:bCs/>
          <w:sz w:val="26"/>
          <w:szCs w:val="26"/>
        </w:rPr>
        <w:t>–</w:t>
      </w:r>
      <w:r w:rsidR="00737213" w:rsidRPr="00737213">
        <w:rPr>
          <w:bCs/>
          <w:sz w:val="26"/>
          <w:szCs w:val="26"/>
        </w:rPr>
        <w:t xml:space="preserve"> </w:t>
      </w:r>
      <w:r w:rsidRPr="00737213">
        <w:rPr>
          <w:bCs/>
          <w:sz w:val="26"/>
          <w:szCs w:val="26"/>
        </w:rPr>
        <w:t>34,4</w:t>
      </w:r>
      <w:r w:rsidRPr="00737213">
        <w:rPr>
          <w:sz w:val="26"/>
          <w:szCs w:val="26"/>
        </w:rPr>
        <w:t xml:space="preserve"> млрд. рублей.</w:t>
      </w:r>
    </w:p>
    <w:p w:rsidR="00FD38BB" w:rsidRPr="00A51DB0" w:rsidRDefault="00FD38BB" w:rsidP="00FD38BB">
      <w:pPr>
        <w:spacing w:line="276" w:lineRule="auto"/>
        <w:ind w:firstLine="720"/>
        <w:jc w:val="both"/>
        <w:rPr>
          <w:sz w:val="26"/>
          <w:szCs w:val="26"/>
        </w:rPr>
      </w:pPr>
      <w:r w:rsidRPr="00A51DB0">
        <w:rPr>
          <w:sz w:val="26"/>
          <w:szCs w:val="26"/>
        </w:rPr>
        <w:t xml:space="preserve"> Среднемесячная номинальная начисленная заработная плата работников</w:t>
      </w:r>
      <w:r w:rsidRPr="00A51DB0">
        <w:rPr>
          <w:sz w:val="26"/>
          <w:szCs w:val="26"/>
        </w:rPr>
        <w:br/>
        <w:t xml:space="preserve">в целом по округу в 2017 году составила 74,2 тыс. рублей с увеличением к уровню </w:t>
      </w:r>
      <w:r w:rsidRPr="00A51DB0">
        <w:rPr>
          <w:sz w:val="26"/>
          <w:szCs w:val="26"/>
        </w:rPr>
        <w:lastRenderedPageBreak/>
        <w:t>2016 года на 3,2 %. В 2018 году среднемесячная начисленная заработная плата будет составлять 80,5 тыс. рублей, с приростом к уровню 2017 года – 8,6 %</w:t>
      </w:r>
      <w:r w:rsidR="00A51DB0" w:rsidRPr="00A51DB0">
        <w:rPr>
          <w:sz w:val="26"/>
          <w:szCs w:val="26"/>
        </w:rPr>
        <w:t>, в 2019 году предусмотрен рост на 5,1%</w:t>
      </w:r>
      <w:r w:rsidRPr="00A51DB0">
        <w:rPr>
          <w:sz w:val="26"/>
          <w:szCs w:val="26"/>
        </w:rPr>
        <w:t>.</w:t>
      </w:r>
    </w:p>
    <w:p w:rsidR="00141125" w:rsidRPr="00F442C8" w:rsidRDefault="00141125" w:rsidP="00141125">
      <w:pPr>
        <w:pStyle w:val="1"/>
        <w:spacing w:before="120" w:after="0"/>
        <w:rPr>
          <w:szCs w:val="26"/>
        </w:rPr>
      </w:pPr>
      <w:r w:rsidRPr="00F442C8">
        <w:rPr>
          <w:szCs w:val="26"/>
        </w:rPr>
        <w:t>Развитие социальной сферы.</w:t>
      </w:r>
    </w:p>
    <w:p w:rsidR="00141125" w:rsidRPr="00F442C8" w:rsidRDefault="00141125" w:rsidP="00141125">
      <w:pPr>
        <w:pStyle w:val="2"/>
        <w:spacing w:before="120" w:after="0" w:line="288" w:lineRule="auto"/>
        <w:jc w:val="both"/>
        <w:rPr>
          <w:sz w:val="26"/>
        </w:rPr>
      </w:pPr>
      <w:r w:rsidRPr="00F442C8">
        <w:rPr>
          <w:sz w:val="26"/>
        </w:rPr>
        <w:t>Образование.</w:t>
      </w:r>
    </w:p>
    <w:p w:rsidR="00141125" w:rsidRPr="00F442C8" w:rsidRDefault="00141125" w:rsidP="0014112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442C8">
        <w:rPr>
          <w:sz w:val="26"/>
          <w:szCs w:val="26"/>
        </w:rPr>
        <w:t>В соответствии с подпунктом «в» пункта 1 Указа Президента Российской Федерации от 07 мая 2012 года № 599 в Архангельской области обеспечено стопроцентная доступность дошкольного образования для детей в возрасте от трех до семи лет.</w:t>
      </w:r>
    </w:p>
    <w:p w:rsidR="00141125" w:rsidRPr="00F442C8" w:rsidRDefault="00141125" w:rsidP="00141125">
      <w:pPr>
        <w:spacing w:line="264" w:lineRule="auto"/>
        <w:ind w:firstLine="709"/>
        <w:jc w:val="both"/>
        <w:rPr>
          <w:sz w:val="26"/>
          <w:szCs w:val="26"/>
        </w:rPr>
      </w:pPr>
      <w:r w:rsidRPr="00F442C8">
        <w:rPr>
          <w:sz w:val="26"/>
          <w:szCs w:val="26"/>
        </w:rPr>
        <w:t>Информация о численности воспитанников в дошкольных образовательных организациях в Архангельской области по состоянию на 31 декабря 2017 года представлена по данным государственной информационной системы Архангельской области «Учет детей, нуждающихся в предоставлении мест в образовательных организациях в Архангельской области, реализующих основную образовательную программу дошкольного образования». Данные о численности детей</w:t>
      </w:r>
      <w:r w:rsidRPr="00F442C8">
        <w:rPr>
          <w:sz w:val="26"/>
          <w:szCs w:val="26"/>
        </w:rPr>
        <w:br/>
        <w:t>на 2018 – 2021 годы указаны в соответствии с количеством дошкольных мест, планируемых создать согласно плану мероприятий («дорожной карте») «Обеспечение доступности дошкольного образования в Архангельской области» (2018 – 2020 годы).</w:t>
      </w:r>
    </w:p>
    <w:p w:rsidR="00141125" w:rsidRPr="00762920" w:rsidRDefault="00141125" w:rsidP="00141125">
      <w:pPr>
        <w:spacing w:line="264" w:lineRule="auto"/>
        <w:ind w:firstLine="709"/>
        <w:jc w:val="both"/>
        <w:rPr>
          <w:sz w:val="26"/>
          <w:szCs w:val="26"/>
        </w:rPr>
      </w:pPr>
      <w:r w:rsidRPr="00762920">
        <w:rPr>
          <w:sz w:val="26"/>
          <w:szCs w:val="26"/>
        </w:rPr>
        <w:t>На реализацию мероприятий по созданию дополнительных мест для детей</w:t>
      </w:r>
      <w:r w:rsidRPr="00762920">
        <w:rPr>
          <w:sz w:val="26"/>
          <w:szCs w:val="26"/>
        </w:rPr>
        <w:br/>
        <w:t>в возрасте от двух месяцев до трех лет в дошкольных образовательных организациях</w:t>
      </w:r>
      <w:r w:rsidRPr="00762920">
        <w:rPr>
          <w:sz w:val="26"/>
          <w:szCs w:val="26"/>
        </w:rPr>
        <w:br/>
        <w:t>на 2018 – 2019 годы в соответствии с распоряжением Правительства Российской Федерации от 23 февраля 2018 года № 306-р из федерального бюджета областному бюджету предусмотрено предоставление межбюджетного трансферта</w:t>
      </w:r>
      <w:r w:rsidR="00762920" w:rsidRPr="00762920">
        <w:rPr>
          <w:sz w:val="26"/>
          <w:szCs w:val="26"/>
        </w:rPr>
        <w:t>.</w:t>
      </w:r>
      <w:r w:rsidRPr="00762920">
        <w:rPr>
          <w:sz w:val="26"/>
          <w:szCs w:val="26"/>
        </w:rPr>
        <w:br/>
      </w:r>
      <w:r w:rsidR="00762920" w:rsidRPr="00762920">
        <w:rPr>
          <w:sz w:val="26"/>
          <w:szCs w:val="26"/>
        </w:rPr>
        <w:t>С</w:t>
      </w:r>
      <w:r w:rsidRPr="00762920">
        <w:rPr>
          <w:sz w:val="26"/>
          <w:szCs w:val="26"/>
        </w:rPr>
        <w:t>редства будут направлены на строительство восьми детских садов</w:t>
      </w:r>
      <w:r w:rsidRPr="00762920">
        <w:rPr>
          <w:sz w:val="26"/>
          <w:szCs w:val="26"/>
        </w:rPr>
        <w:br/>
        <w:t>на 1 460 мест, кроме того планируется строительство детского сада на 280 мест</w:t>
      </w:r>
      <w:r w:rsidRPr="00762920">
        <w:rPr>
          <w:sz w:val="26"/>
          <w:szCs w:val="26"/>
        </w:rPr>
        <w:br/>
        <w:t>в округе Майская горка города Архангельска за счет средств федеральной программы «Жилище», создание мест в муниципальных детских садах</w:t>
      </w:r>
      <w:r w:rsidRPr="00762920">
        <w:rPr>
          <w:sz w:val="26"/>
          <w:szCs w:val="26"/>
        </w:rPr>
        <w:br/>
        <w:t>за счет ремонта и перепрофилирования помещений, ранее используемых</w:t>
      </w:r>
      <w:r w:rsidRPr="00762920">
        <w:rPr>
          <w:sz w:val="26"/>
          <w:szCs w:val="26"/>
        </w:rPr>
        <w:br/>
        <w:t>не по назначению, а также создание мест в частных детских садах.</w:t>
      </w:r>
    </w:p>
    <w:p w:rsidR="00141125" w:rsidRPr="002924D5" w:rsidRDefault="00141125" w:rsidP="00141125">
      <w:pPr>
        <w:spacing w:line="264" w:lineRule="auto"/>
        <w:ind w:firstLine="709"/>
        <w:jc w:val="both"/>
        <w:rPr>
          <w:sz w:val="26"/>
          <w:szCs w:val="26"/>
        </w:rPr>
      </w:pPr>
      <w:r w:rsidRPr="002924D5">
        <w:rPr>
          <w:sz w:val="26"/>
          <w:szCs w:val="26"/>
        </w:rPr>
        <w:t>В соответствии с Федеральным законом от 29 декабря 2012 года</w:t>
      </w:r>
      <w:r w:rsidR="00762920" w:rsidRPr="002924D5">
        <w:rPr>
          <w:sz w:val="26"/>
          <w:szCs w:val="26"/>
        </w:rPr>
        <w:br/>
      </w:r>
      <w:r w:rsidRPr="002924D5">
        <w:rPr>
          <w:sz w:val="26"/>
          <w:szCs w:val="26"/>
        </w:rPr>
        <w:t>№ 273-ФЗ «Об образовании в Российской Федерации» с 2015 года все учреждения начального профессионального образования переименованы</w:t>
      </w:r>
      <w:r w:rsidR="00762920" w:rsidRPr="002924D5">
        <w:rPr>
          <w:sz w:val="26"/>
          <w:szCs w:val="26"/>
        </w:rPr>
        <w:t xml:space="preserve"> </w:t>
      </w:r>
      <w:r w:rsidRPr="002924D5">
        <w:rPr>
          <w:sz w:val="26"/>
          <w:szCs w:val="26"/>
        </w:rPr>
        <w:t xml:space="preserve">в образовательные организации среднего профессионального образования. Увеличение контингента профессиональных образовательных организаций </w:t>
      </w:r>
      <w:r w:rsidR="002924D5" w:rsidRPr="002924D5">
        <w:rPr>
          <w:sz w:val="26"/>
          <w:szCs w:val="26"/>
        </w:rPr>
        <w:t>в</w:t>
      </w:r>
      <w:r w:rsidRPr="002924D5">
        <w:rPr>
          <w:sz w:val="26"/>
          <w:szCs w:val="26"/>
        </w:rPr>
        <w:t xml:space="preserve"> 2018–2019 года</w:t>
      </w:r>
      <w:r w:rsidR="002924D5" w:rsidRPr="002924D5">
        <w:rPr>
          <w:sz w:val="26"/>
          <w:szCs w:val="26"/>
        </w:rPr>
        <w:t>х</w:t>
      </w:r>
      <w:r w:rsidRPr="002924D5">
        <w:rPr>
          <w:sz w:val="26"/>
          <w:szCs w:val="26"/>
        </w:rPr>
        <w:t xml:space="preserve"> основано</w:t>
      </w:r>
      <w:r w:rsidR="00762920" w:rsidRPr="002924D5">
        <w:rPr>
          <w:sz w:val="26"/>
          <w:szCs w:val="26"/>
        </w:rPr>
        <w:br/>
      </w:r>
      <w:r w:rsidRPr="002924D5">
        <w:rPr>
          <w:sz w:val="26"/>
          <w:szCs w:val="26"/>
        </w:rPr>
        <w:t>на прогнозе количества выпускников общеобразовательных организаций Архангельской области,</w:t>
      </w:r>
      <w:r w:rsidR="00762920" w:rsidRPr="002924D5">
        <w:rPr>
          <w:sz w:val="26"/>
          <w:szCs w:val="26"/>
        </w:rPr>
        <w:t xml:space="preserve"> </w:t>
      </w:r>
      <w:r w:rsidRPr="002924D5">
        <w:rPr>
          <w:sz w:val="26"/>
          <w:szCs w:val="26"/>
        </w:rPr>
        <w:t>а также</w:t>
      </w:r>
      <w:r w:rsidR="00762920" w:rsidRPr="002924D5">
        <w:rPr>
          <w:sz w:val="26"/>
          <w:szCs w:val="26"/>
        </w:rPr>
        <w:t xml:space="preserve"> </w:t>
      </w:r>
      <w:r w:rsidRPr="002924D5">
        <w:rPr>
          <w:sz w:val="26"/>
          <w:szCs w:val="26"/>
        </w:rPr>
        <w:t>на демографическом прогнозе.</w:t>
      </w:r>
    </w:p>
    <w:p w:rsidR="00141125" w:rsidRPr="003626D9" w:rsidRDefault="00141125" w:rsidP="00141125">
      <w:pPr>
        <w:spacing w:line="264" w:lineRule="auto"/>
        <w:ind w:firstLine="709"/>
        <w:jc w:val="both"/>
        <w:rPr>
          <w:highlight w:val="yellow"/>
        </w:rPr>
      </w:pPr>
      <w:r w:rsidRPr="002924D5">
        <w:rPr>
          <w:sz w:val="26"/>
          <w:szCs w:val="26"/>
        </w:rPr>
        <w:t>В 201</w:t>
      </w:r>
      <w:r w:rsidR="002924D5" w:rsidRPr="002924D5">
        <w:rPr>
          <w:sz w:val="26"/>
          <w:szCs w:val="26"/>
        </w:rPr>
        <w:t>9</w:t>
      </w:r>
      <w:r w:rsidRPr="002924D5">
        <w:rPr>
          <w:sz w:val="26"/>
          <w:szCs w:val="26"/>
        </w:rPr>
        <w:t>–20</w:t>
      </w:r>
      <w:r w:rsidR="002924D5" w:rsidRPr="002924D5">
        <w:rPr>
          <w:sz w:val="26"/>
          <w:szCs w:val="26"/>
        </w:rPr>
        <w:t>21</w:t>
      </w:r>
      <w:r w:rsidRPr="002924D5">
        <w:rPr>
          <w:sz w:val="26"/>
          <w:szCs w:val="26"/>
        </w:rPr>
        <w:t xml:space="preserve"> годах тенденция снижения численности студентов высшего образования замедлится, что связано с изменениями возрастной структуры населения Архангельской области и Российской Федерации в целом. С 2020 года ожидается небольшой рост численности студентов в Архангельской области примерно до 21 тысячи человек, что обусловлено сохранением количества </w:t>
      </w:r>
      <w:r w:rsidRPr="002924D5">
        <w:rPr>
          <w:sz w:val="26"/>
          <w:szCs w:val="26"/>
        </w:rPr>
        <w:lastRenderedPageBreak/>
        <w:t>выделяемых бюджетных мест в вузах и стабилизацией демографической ситуации</w:t>
      </w:r>
      <w:r w:rsidRPr="002924D5">
        <w:rPr>
          <w:sz w:val="26"/>
          <w:szCs w:val="26"/>
        </w:rPr>
        <w:br/>
        <w:t xml:space="preserve">в возрастной группе выпускников общеобразовательных организаций, а также увеличением контингента получающих высшее образование в заочной форме. </w:t>
      </w:r>
    </w:p>
    <w:p w:rsidR="00141125" w:rsidRPr="003A6164" w:rsidRDefault="00141125" w:rsidP="00141125">
      <w:pPr>
        <w:pStyle w:val="2"/>
        <w:spacing w:before="120" w:after="0" w:line="288" w:lineRule="auto"/>
        <w:ind w:firstLine="851"/>
        <w:rPr>
          <w:b w:val="0"/>
          <w:color w:val="000000"/>
          <w:sz w:val="26"/>
        </w:rPr>
      </w:pPr>
      <w:r w:rsidRPr="003A6164">
        <w:rPr>
          <w:b w:val="0"/>
          <w:color w:val="000000"/>
          <w:sz w:val="26"/>
        </w:rPr>
        <w:t>Здравоохранение.</w:t>
      </w:r>
    </w:p>
    <w:p w:rsidR="00141125" w:rsidRPr="003A6164" w:rsidRDefault="00141125" w:rsidP="00141125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3A6164">
        <w:rPr>
          <w:rFonts w:eastAsia="Calibri"/>
          <w:color w:val="000000"/>
          <w:sz w:val="26"/>
          <w:szCs w:val="26"/>
          <w:lang w:eastAsia="en-US"/>
        </w:rPr>
        <w:t>В 2017 году обеспеченность населения койками составила</w:t>
      </w:r>
      <w:r w:rsidR="002924D5" w:rsidRPr="003A6164">
        <w:rPr>
          <w:rFonts w:eastAsia="Calibri"/>
          <w:color w:val="000000"/>
          <w:sz w:val="26"/>
          <w:szCs w:val="26"/>
          <w:lang w:eastAsia="en-US"/>
        </w:rPr>
        <w:br/>
      </w:r>
      <w:r w:rsidRPr="003A6164">
        <w:rPr>
          <w:rFonts w:eastAsia="Calibri"/>
          <w:color w:val="000000"/>
          <w:sz w:val="26"/>
          <w:szCs w:val="26"/>
          <w:lang w:eastAsia="en-US"/>
        </w:rPr>
        <w:t xml:space="preserve">74,1 на 10 тыс. населения. </w:t>
      </w:r>
      <w:r w:rsidRPr="003A6164">
        <w:rPr>
          <w:rFonts w:eastAsia="Calibri"/>
          <w:sz w:val="26"/>
          <w:szCs w:val="26"/>
          <w:lang w:eastAsia="en-US"/>
        </w:rPr>
        <w:t xml:space="preserve">В 2018 году нормативы объемов оказания специализированной медицинской помощи в условиях круглосуточного стационара приведены в соответствие с федеральными нормативами, что </w:t>
      </w:r>
      <w:r w:rsidR="002924D5" w:rsidRPr="003A6164">
        <w:rPr>
          <w:rFonts w:eastAsia="Calibri"/>
          <w:sz w:val="26"/>
          <w:szCs w:val="26"/>
          <w:lang w:eastAsia="en-US"/>
        </w:rPr>
        <w:t>отразилось</w:t>
      </w:r>
      <w:r w:rsidR="002924D5" w:rsidRPr="003A6164">
        <w:rPr>
          <w:rFonts w:eastAsia="Calibri"/>
          <w:sz w:val="26"/>
          <w:szCs w:val="26"/>
          <w:lang w:eastAsia="en-US"/>
        </w:rPr>
        <w:br/>
        <w:t>на</w:t>
      </w:r>
      <w:r w:rsidRPr="003A6164">
        <w:rPr>
          <w:rFonts w:eastAsia="Calibri"/>
          <w:sz w:val="26"/>
          <w:szCs w:val="26"/>
          <w:lang w:eastAsia="en-US"/>
        </w:rPr>
        <w:t xml:space="preserve"> сокращени</w:t>
      </w:r>
      <w:r w:rsidR="002924D5" w:rsidRPr="003A6164">
        <w:rPr>
          <w:rFonts w:eastAsia="Calibri"/>
          <w:sz w:val="26"/>
          <w:szCs w:val="26"/>
          <w:lang w:eastAsia="en-US"/>
        </w:rPr>
        <w:t>и</w:t>
      </w:r>
      <w:r w:rsidRPr="003A6164">
        <w:rPr>
          <w:rFonts w:eastAsia="Calibri"/>
          <w:sz w:val="26"/>
          <w:szCs w:val="26"/>
          <w:lang w:eastAsia="en-US"/>
        </w:rPr>
        <w:t xml:space="preserve"> коечного фонда. Обеспеченность населения койками в 2018 году составит 72,6 на 10 тыс. населения. </w:t>
      </w:r>
    </w:p>
    <w:p w:rsidR="00141125" w:rsidRDefault="00141125" w:rsidP="00141125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D70D3">
        <w:rPr>
          <w:sz w:val="26"/>
          <w:szCs w:val="26"/>
        </w:rPr>
        <w:t xml:space="preserve">Число больничных коек на </w:t>
      </w:r>
      <w:r w:rsidR="006D70D3" w:rsidRPr="006D70D3">
        <w:rPr>
          <w:sz w:val="26"/>
          <w:szCs w:val="26"/>
        </w:rPr>
        <w:t>2019-2021 годы</w:t>
      </w:r>
      <w:r w:rsidRPr="006D70D3">
        <w:rPr>
          <w:sz w:val="26"/>
          <w:szCs w:val="26"/>
        </w:rPr>
        <w:t xml:space="preserve"> рассчитано с учетом прогнозных показателей численности населения, а также нормативов объемов медицинской помощи, оказываемой в условиях круглосуточного стационара, установленных программой государственных гарантий бесплатного оказания гражданам медицинской помощи на 2018 год и на плановый период</w:t>
      </w:r>
      <w:r w:rsidRPr="006D70D3">
        <w:rPr>
          <w:sz w:val="26"/>
          <w:szCs w:val="26"/>
        </w:rPr>
        <w:br/>
        <w:t>2019 и 2020 годов, утвержденной постановлением Правительства Российской Федерации от 26 декабря 2017 года № 607-пп</w:t>
      </w:r>
      <w:r w:rsidRPr="006D70D3">
        <w:rPr>
          <w:rFonts w:eastAsia="Calibri"/>
          <w:sz w:val="26"/>
          <w:szCs w:val="26"/>
          <w:lang w:eastAsia="en-US"/>
        </w:rPr>
        <w:t xml:space="preserve">. </w:t>
      </w:r>
    </w:p>
    <w:p w:rsidR="00141125" w:rsidRPr="006D70D3" w:rsidRDefault="00141125" w:rsidP="001411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D70D3">
        <w:rPr>
          <w:rFonts w:eastAsia="Calibri"/>
          <w:sz w:val="26"/>
          <w:szCs w:val="26"/>
          <w:lang w:eastAsia="en-US"/>
        </w:rPr>
        <w:t xml:space="preserve">Коэффициент обеспеченности больничными койками </w:t>
      </w:r>
      <w:r w:rsidRPr="006D70D3">
        <w:rPr>
          <w:rFonts w:eastAsia="Calibri"/>
          <w:spacing w:val="-2"/>
          <w:sz w:val="26"/>
          <w:szCs w:val="26"/>
          <w:lang w:eastAsia="en-US"/>
        </w:rPr>
        <w:t>в прогнозируемом периоде будет расти до 7</w:t>
      </w:r>
      <w:r w:rsidR="006D70D3" w:rsidRPr="006D70D3">
        <w:rPr>
          <w:rFonts w:eastAsia="Calibri"/>
          <w:spacing w:val="-2"/>
          <w:sz w:val="26"/>
          <w:szCs w:val="26"/>
          <w:lang w:eastAsia="en-US"/>
        </w:rPr>
        <w:t>3</w:t>
      </w:r>
      <w:r w:rsidRPr="006D70D3">
        <w:rPr>
          <w:rFonts w:eastAsia="Calibri"/>
          <w:spacing w:val="-2"/>
          <w:sz w:val="26"/>
          <w:szCs w:val="26"/>
          <w:lang w:eastAsia="en-US"/>
        </w:rPr>
        <w:t>,</w:t>
      </w:r>
      <w:r w:rsidR="006D70D3" w:rsidRPr="006D70D3">
        <w:rPr>
          <w:rFonts w:eastAsia="Calibri"/>
          <w:spacing w:val="-2"/>
          <w:sz w:val="26"/>
          <w:szCs w:val="26"/>
          <w:lang w:eastAsia="en-US"/>
        </w:rPr>
        <w:t>2</w:t>
      </w:r>
      <w:r w:rsidRPr="006D70D3">
        <w:rPr>
          <w:rFonts w:eastAsia="Calibri"/>
          <w:spacing w:val="-2"/>
          <w:sz w:val="26"/>
          <w:szCs w:val="26"/>
          <w:lang w:eastAsia="en-US"/>
        </w:rPr>
        <w:t xml:space="preserve"> коек на 10 тыс. населения в 201</w:t>
      </w:r>
      <w:r w:rsidR="006D70D3" w:rsidRPr="006D70D3">
        <w:rPr>
          <w:rFonts w:eastAsia="Calibri"/>
          <w:spacing w:val="-2"/>
          <w:sz w:val="26"/>
          <w:szCs w:val="26"/>
          <w:lang w:eastAsia="en-US"/>
        </w:rPr>
        <w:t>9</w:t>
      </w:r>
      <w:r w:rsidRPr="006D70D3">
        <w:rPr>
          <w:rFonts w:eastAsia="Calibri"/>
          <w:spacing w:val="-2"/>
          <w:sz w:val="26"/>
          <w:szCs w:val="26"/>
          <w:lang w:eastAsia="en-US"/>
        </w:rPr>
        <w:t xml:space="preserve"> году</w:t>
      </w:r>
      <w:r w:rsidRPr="006D70D3">
        <w:rPr>
          <w:rFonts w:eastAsia="Calibri"/>
          <w:spacing w:val="-2"/>
          <w:sz w:val="26"/>
          <w:szCs w:val="26"/>
          <w:lang w:eastAsia="en-US"/>
        </w:rPr>
        <w:br/>
        <w:t xml:space="preserve">и до 74,2 в 2021 году по базовому варианту прогноза, </w:t>
      </w:r>
      <w:r w:rsidRPr="006D70D3">
        <w:rPr>
          <w:rFonts w:eastAsia="Calibri"/>
          <w:sz w:val="26"/>
          <w:szCs w:val="26"/>
          <w:lang w:eastAsia="en-US"/>
        </w:rPr>
        <w:t>число посещений амбулаторно-поликлинических учреждений с 3</w:t>
      </w:r>
      <w:r w:rsidR="006D70D3" w:rsidRPr="006D70D3">
        <w:rPr>
          <w:rFonts w:eastAsia="Calibri"/>
          <w:sz w:val="26"/>
          <w:szCs w:val="26"/>
          <w:lang w:eastAsia="en-US"/>
        </w:rPr>
        <w:t>12,1</w:t>
      </w:r>
      <w:r w:rsidRPr="006D70D3">
        <w:rPr>
          <w:rFonts w:eastAsia="Calibri"/>
          <w:sz w:val="26"/>
          <w:szCs w:val="26"/>
          <w:lang w:eastAsia="en-US"/>
        </w:rPr>
        <w:t xml:space="preserve"> в 2018 году до 318,3 посещений в смену на 10 тыс. человек населения в 2021 году. </w:t>
      </w:r>
    </w:p>
    <w:p w:rsidR="0046759B" w:rsidRPr="003626D9" w:rsidRDefault="0046759B" w:rsidP="0046759B">
      <w:pPr>
        <w:spacing w:line="276" w:lineRule="auto"/>
        <w:rPr>
          <w:highlight w:val="yellow"/>
        </w:rPr>
      </w:pPr>
    </w:p>
    <w:p w:rsidR="001F3AE1" w:rsidRPr="00401EE3" w:rsidRDefault="001F3AE1" w:rsidP="00A81E77">
      <w:pPr>
        <w:pStyle w:val="2"/>
        <w:spacing w:before="120" w:after="0" w:line="288" w:lineRule="auto"/>
        <w:jc w:val="both"/>
        <w:rPr>
          <w:sz w:val="26"/>
        </w:rPr>
      </w:pPr>
      <w:r w:rsidRPr="00401EE3">
        <w:rPr>
          <w:sz w:val="26"/>
        </w:rPr>
        <w:t>Сопоставление параметров прогноза с ранее утвержденными параметрами с указанием причин и факторов прогнозируемых изменений.</w:t>
      </w:r>
    </w:p>
    <w:p w:rsidR="001F3AE1" w:rsidRPr="00401EE3" w:rsidRDefault="001F3AE1" w:rsidP="001F3AE1">
      <w:pPr>
        <w:spacing w:line="288" w:lineRule="auto"/>
        <w:ind w:firstLine="709"/>
        <w:jc w:val="both"/>
        <w:rPr>
          <w:sz w:val="26"/>
          <w:szCs w:val="26"/>
        </w:rPr>
      </w:pPr>
      <w:r w:rsidRPr="00401EE3">
        <w:rPr>
          <w:sz w:val="26"/>
          <w:szCs w:val="26"/>
        </w:rPr>
        <w:t xml:space="preserve">В соответствии с пунктом 4 статьи 173 Бюджетного кодекса Российской Федерации сформировано </w:t>
      </w:r>
      <w:r w:rsidRPr="00401EE3">
        <w:rPr>
          <w:sz w:val="26"/>
        </w:rPr>
        <w:t>сопоставление ключевых параметров прогноза Архангельской области на 201</w:t>
      </w:r>
      <w:r w:rsidR="00BE4E52" w:rsidRPr="00401EE3">
        <w:rPr>
          <w:sz w:val="26"/>
        </w:rPr>
        <w:t>9</w:t>
      </w:r>
      <w:r w:rsidRPr="00401EE3">
        <w:rPr>
          <w:sz w:val="26"/>
        </w:rPr>
        <w:t xml:space="preserve"> год, разработанных в рамках бюджетного процесса в 201</w:t>
      </w:r>
      <w:r w:rsidR="00BE4E52" w:rsidRPr="00401EE3">
        <w:rPr>
          <w:sz w:val="26"/>
        </w:rPr>
        <w:t>8</w:t>
      </w:r>
      <w:r w:rsidRPr="00401EE3">
        <w:rPr>
          <w:sz w:val="26"/>
        </w:rPr>
        <w:t xml:space="preserve"> году, с ранее утвержденными параметрами на 201</w:t>
      </w:r>
      <w:r w:rsidR="00BE4E52" w:rsidRPr="00401EE3">
        <w:rPr>
          <w:sz w:val="26"/>
        </w:rPr>
        <w:t>9</w:t>
      </w:r>
      <w:r w:rsidRPr="00401EE3">
        <w:rPr>
          <w:sz w:val="26"/>
        </w:rPr>
        <w:t xml:space="preserve"> год (распоряжение </w:t>
      </w:r>
      <w:r w:rsidRPr="00401EE3">
        <w:rPr>
          <w:sz w:val="26"/>
        </w:rPr>
        <w:br/>
        <w:t>№ 4</w:t>
      </w:r>
      <w:r w:rsidR="00BE4E52" w:rsidRPr="00401EE3">
        <w:rPr>
          <w:sz w:val="26"/>
        </w:rPr>
        <w:t>10</w:t>
      </w:r>
      <w:r w:rsidRPr="00401EE3">
        <w:rPr>
          <w:sz w:val="26"/>
        </w:rPr>
        <w:t>-рп от 10.1</w:t>
      </w:r>
      <w:r w:rsidR="00BE4E52" w:rsidRPr="00401EE3">
        <w:rPr>
          <w:sz w:val="26"/>
        </w:rPr>
        <w:t>0</w:t>
      </w:r>
      <w:r w:rsidRPr="00401EE3">
        <w:rPr>
          <w:sz w:val="26"/>
        </w:rPr>
        <w:t>.201</w:t>
      </w:r>
      <w:r w:rsidR="00BE4E52" w:rsidRPr="00401EE3">
        <w:rPr>
          <w:sz w:val="26"/>
        </w:rPr>
        <w:t>7</w:t>
      </w:r>
      <w:r w:rsidRPr="00401EE3">
        <w:rPr>
          <w:sz w:val="26"/>
        </w:rPr>
        <w:t xml:space="preserve">) с указанием причин и факторов прогнозируемых изменений </w:t>
      </w:r>
      <w:r w:rsidRPr="00401EE3">
        <w:rPr>
          <w:sz w:val="26"/>
        </w:rPr>
        <w:br/>
        <w:t xml:space="preserve">(при изменении более 5% или процентных </w:t>
      </w:r>
      <w:r w:rsidRPr="00401EE3">
        <w:rPr>
          <w:sz w:val="26"/>
          <w:szCs w:val="26"/>
        </w:rPr>
        <w:t xml:space="preserve">пунктов). </w:t>
      </w:r>
    </w:p>
    <w:p w:rsidR="001F3AE1" w:rsidRPr="00401EE3" w:rsidRDefault="001F3AE1" w:rsidP="001F3AE1">
      <w:pPr>
        <w:spacing w:line="288" w:lineRule="auto"/>
        <w:ind w:firstLine="709"/>
        <w:jc w:val="both"/>
        <w:rPr>
          <w:sz w:val="26"/>
          <w:szCs w:val="26"/>
        </w:rPr>
      </w:pPr>
      <w:r w:rsidRPr="00401EE3">
        <w:rPr>
          <w:sz w:val="26"/>
          <w:szCs w:val="26"/>
        </w:rPr>
        <w:t>Уточнение прогнозных значений на 201</w:t>
      </w:r>
      <w:r w:rsidR="00BE4E52" w:rsidRPr="00401EE3">
        <w:rPr>
          <w:sz w:val="26"/>
          <w:szCs w:val="26"/>
        </w:rPr>
        <w:t>9</w:t>
      </w:r>
      <w:r w:rsidRPr="00401EE3">
        <w:rPr>
          <w:sz w:val="26"/>
          <w:szCs w:val="26"/>
        </w:rPr>
        <w:t xml:space="preserve"> год по Ненецкому автономному округу произведено в связи с изменением данных показателей Администрацией Ненецкого автономного округа.</w:t>
      </w:r>
    </w:p>
    <w:p w:rsidR="001F3AE1" w:rsidRPr="003626D9" w:rsidRDefault="001F3AE1" w:rsidP="001F3AE1">
      <w:pPr>
        <w:spacing w:line="288" w:lineRule="auto"/>
        <w:ind w:firstLine="709"/>
        <w:jc w:val="both"/>
        <w:rPr>
          <w:sz w:val="26"/>
          <w:szCs w:val="26"/>
          <w:highlight w:val="yellow"/>
        </w:rPr>
      </w:pPr>
    </w:p>
    <w:p w:rsidR="00430F11" w:rsidRPr="003626D9" w:rsidRDefault="00430F11" w:rsidP="001F3AE1">
      <w:pPr>
        <w:spacing w:line="288" w:lineRule="auto"/>
        <w:ind w:firstLine="709"/>
        <w:jc w:val="both"/>
        <w:rPr>
          <w:sz w:val="26"/>
          <w:szCs w:val="26"/>
          <w:highlight w:val="yellow"/>
        </w:rPr>
      </w:pPr>
    </w:p>
    <w:p w:rsidR="00430F11" w:rsidRPr="003626D9" w:rsidRDefault="00430F11" w:rsidP="001F3AE1">
      <w:pPr>
        <w:spacing w:line="288" w:lineRule="auto"/>
        <w:ind w:firstLine="709"/>
        <w:jc w:val="both"/>
        <w:rPr>
          <w:sz w:val="26"/>
          <w:szCs w:val="26"/>
          <w:highlight w:val="yellow"/>
        </w:rPr>
      </w:pPr>
    </w:p>
    <w:p w:rsidR="00430F11" w:rsidRDefault="00430F11" w:rsidP="001F3AE1">
      <w:pPr>
        <w:spacing w:line="288" w:lineRule="auto"/>
        <w:ind w:firstLine="709"/>
        <w:jc w:val="both"/>
        <w:rPr>
          <w:sz w:val="26"/>
          <w:szCs w:val="26"/>
          <w:highlight w:val="yellow"/>
        </w:rPr>
      </w:pPr>
    </w:p>
    <w:p w:rsidR="002704D8" w:rsidRDefault="002704D8" w:rsidP="001F3AE1">
      <w:pPr>
        <w:spacing w:line="288" w:lineRule="auto"/>
        <w:ind w:firstLine="709"/>
        <w:jc w:val="both"/>
        <w:rPr>
          <w:sz w:val="26"/>
          <w:szCs w:val="26"/>
          <w:highlight w:val="yellow"/>
        </w:rPr>
      </w:pPr>
    </w:p>
    <w:p w:rsidR="002704D8" w:rsidRDefault="002704D8" w:rsidP="001F3AE1">
      <w:pPr>
        <w:spacing w:line="288" w:lineRule="auto"/>
        <w:ind w:firstLine="709"/>
        <w:jc w:val="both"/>
        <w:rPr>
          <w:sz w:val="26"/>
          <w:szCs w:val="26"/>
          <w:highlight w:val="yellow"/>
        </w:rPr>
      </w:pPr>
    </w:p>
    <w:p w:rsidR="002704D8" w:rsidRPr="003626D9" w:rsidRDefault="002704D8" w:rsidP="001F3AE1">
      <w:pPr>
        <w:spacing w:line="288" w:lineRule="auto"/>
        <w:ind w:firstLine="709"/>
        <w:jc w:val="both"/>
        <w:rPr>
          <w:sz w:val="26"/>
          <w:szCs w:val="26"/>
          <w:highlight w:val="yellow"/>
        </w:rPr>
      </w:pPr>
    </w:p>
    <w:p w:rsidR="001F3AE1" w:rsidRPr="00CD2BDB" w:rsidRDefault="001F3AE1" w:rsidP="002704D8">
      <w:pPr>
        <w:ind w:firstLine="709"/>
        <w:jc w:val="center"/>
        <w:rPr>
          <w:sz w:val="26"/>
        </w:rPr>
      </w:pPr>
      <w:r w:rsidRPr="00CD2BDB">
        <w:rPr>
          <w:sz w:val="26"/>
        </w:rPr>
        <w:lastRenderedPageBreak/>
        <w:t>Сопоставление ключевых параметров прогноза</w:t>
      </w:r>
      <w:r w:rsidR="00D32194" w:rsidRPr="00CD2BDB">
        <w:rPr>
          <w:sz w:val="26"/>
        </w:rPr>
        <w:t xml:space="preserve"> Архангельской области</w:t>
      </w:r>
      <w:r w:rsidRPr="00CD2BDB">
        <w:rPr>
          <w:sz w:val="26"/>
        </w:rPr>
        <w:t xml:space="preserve"> </w:t>
      </w:r>
      <w:r w:rsidR="00D32194" w:rsidRPr="00CD2BDB">
        <w:rPr>
          <w:sz w:val="26"/>
        </w:rPr>
        <w:br/>
      </w:r>
      <w:r w:rsidRPr="00CD2BDB">
        <w:rPr>
          <w:sz w:val="26"/>
        </w:rPr>
        <w:t>на 201</w:t>
      </w:r>
      <w:r w:rsidR="00BE4E52" w:rsidRPr="00CD2BDB">
        <w:rPr>
          <w:sz w:val="26"/>
        </w:rPr>
        <w:t>9</w:t>
      </w:r>
      <w:r w:rsidR="00D32194" w:rsidRPr="00CD2BDB">
        <w:rPr>
          <w:sz w:val="26"/>
        </w:rPr>
        <w:t xml:space="preserve"> год, </w:t>
      </w:r>
      <w:r w:rsidRPr="00CD2BDB">
        <w:rPr>
          <w:sz w:val="26"/>
        </w:rPr>
        <w:t>разработанных в рамках бюджетного процесса в 201</w:t>
      </w:r>
      <w:r w:rsidR="00BE4E52" w:rsidRPr="00CD2BDB">
        <w:rPr>
          <w:sz w:val="26"/>
        </w:rPr>
        <w:t>8</w:t>
      </w:r>
      <w:r w:rsidRPr="00CD2BDB">
        <w:rPr>
          <w:sz w:val="26"/>
        </w:rPr>
        <w:t xml:space="preserve"> году, </w:t>
      </w:r>
    </w:p>
    <w:p w:rsidR="001F3AE1" w:rsidRPr="00CD2BDB" w:rsidRDefault="001F3AE1" w:rsidP="002704D8">
      <w:pPr>
        <w:ind w:firstLine="709"/>
        <w:jc w:val="center"/>
        <w:rPr>
          <w:sz w:val="26"/>
          <w:szCs w:val="26"/>
        </w:rPr>
      </w:pPr>
      <w:r w:rsidRPr="00CD2BDB">
        <w:rPr>
          <w:sz w:val="26"/>
        </w:rPr>
        <w:t>с ранее утвержденными параметрами на 201</w:t>
      </w:r>
      <w:r w:rsidR="00BE4E52" w:rsidRPr="00CD2BDB">
        <w:rPr>
          <w:sz w:val="26"/>
        </w:rPr>
        <w:t>9</w:t>
      </w:r>
      <w:r w:rsidRPr="00CD2BDB">
        <w:rPr>
          <w:sz w:val="26"/>
        </w:rPr>
        <w:t xml:space="preserve"> год </w:t>
      </w:r>
      <w:r w:rsidRPr="00CD2BDB">
        <w:rPr>
          <w:sz w:val="26"/>
        </w:rPr>
        <w:br/>
        <w:t>(распоряжение № 4</w:t>
      </w:r>
      <w:r w:rsidR="00BE4E52" w:rsidRPr="00CD2BDB">
        <w:rPr>
          <w:sz w:val="26"/>
        </w:rPr>
        <w:t>10</w:t>
      </w:r>
      <w:r w:rsidRPr="00CD2BDB">
        <w:rPr>
          <w:sz w:val="26"/>
        </w:rPr>
        <w:t>-рп от 10.1</w:t>
      </w:r>
      <w:r w:rsidR="00BE4E52" w:rsidRPr="00CD2BDB">
        <w:rPr>
          <w:sz w:val="26"/>
        </w:rPr>
        <w:t>0.2017</w:t>
      </w:r>
      <w:r w:rsidRPr="00CD2BDB">
        <w:rPr>
          <w:sz w:val="26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417"/>
        <w:gridCol w:w="1418"/>
        <w:gridCol w:w="1134"/>
        <w:gridCol w:w="850"/>
        <w:gridCol w:w="2126"/>
      </w:tblGrid>
      <w:tr w:rsidR="001F3AE1" w:rsidRPr="003626D9" w:rsidTr="001F3AE1">
        <w:trPr>
          <w:tblHeader/>
        </w:trPr>
        <w:tc>
          <w:tcPr>
            <w:tcW w:w="2689" w:type="dxa"/>
            <w:vMerge w:val="restart"/>
            <w:shd w:val="clear" w:color="auto" w:fill="auto"/>
            <w:noWrap/>
            <w:vAlign w:val="center"/>
            <w:hideMark/>
          </w:tcPr>
          <w:p w:rsidR="001F3AE1" w:rsidRPr="00CD2BDB" w:rsidRDefault="001F3AE1" w:rsidP="001F3AE1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1F3AE1" w:rsidRPr="00CD2BDB" w:rsidRDefault="001F3AE1" w:rsidP="001F3AE1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Единица измерения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1F3AE1" w:rsidRPr="00CD2BDB" w:rsidRDefault="001F3AE1" w:rsidP="00BE4E52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201</w:t>
            </w:r>
            <w:r w:rsidR="00BE4E52" w:rsidRPr="00CD2BDB">
              <w:rPr>
                <w:sz w:val="18"/>
                <w:szCs w:val="18"/>
                <w:lang w:val="en-US"/>
              </w:rPr>
              <w:t>9</w:t>
            </w:r>
            <w:r w:rsidRPr="00CD2BDB">
              <w:rPr>
                <w:sz w:val="18"/>
                <w:szCs w:val="18"/>
              </w:rPr>
              <w:t xml:space="preserve"> год (прогноз)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F3AE1" w:rsidRPr="00CD2BDB" w:rsidRDefault="001F3AE1" w:rsidP="001F3AE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D2BDB">
              <w:rPr>
                <w:sz w:val="18"/>
                <w:szCs w:val="18"/>
              </w:rPr>
              <w:t>Откло-нение</w:t>
            </w:r>
            <w:proofErr w:type="spellEnd"/>
            <w:proofErr w:type="gramEnd"/>
            <w:r w:rsidRPr="00CD2BDB">
              <w:rPr>
                <w:sz w:val="18"/>
                <w:szCs w:val="18"/>
              </w:rPr>
              <w:t>, % (п.п.)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F3AE1" w:rsidRPr="00CD2BDB" w:rsidRDefault="001F3AE1" w:rsidP="00C14179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Причины отклонений (при отклонении более 5</w:t>
            </w:r>
            <w:r w:rsidR="00C14179" w:rsidRPr="00CD2BDB">
              <w:rPr>
                <w:sz w:val="18"/>
                <w:szCs w:val="18"/>
              </w:rPr>
              <w:t xml:space="preserve"> </w:t>
            </w:r>
            <w:r w:rsidRPr="00CD2BDB">
              <w:rPr>
                <w:sz w:val="18"/>
                <w:szCs w:val="18"/>
              </w:rPr>
              <w:t>%</w:t>
            </w:r>
            <w:r w:rsidR="00C14179" w:rsidRPr="00CD2BDB">
              <w:rPr>
                <w:sz w:val="18"/>
                <w:szCs w:val="18"/>
              </w:rPr>
              <w:t>/</w:t>
            </w:r>
            <w:r w:rsidRPr="00CD2BDB">
              <w:rPr>
                <w:sz w:val="18"/>
                <w:szCs w:val="18"/>
              </w:rPr>
              <w:t>п.п.)</w:t>
            </w:r>
          </w:p>
        </w:tc>
      </w:tr>
      <w:tr w:rsidR="001F3AE1" w:rsidRPr="003626D9" w:rsidTr="001F3AE1">
        <w:trPr>
          <w:tblHeader/>
        </w:trPr>
        <w:tc>
          <w:tcPr>
            <w:tcW w:w="2689" w:type="dxa"/>
            <w:vMerge/>
            <w:vAlign w:val="center"/>
            <w:hideMark/>
          </w:tcPr>
          <w:p w:rsidR="001F3AE1" w:rsidRPr="00CD2BDB" w:rsidRDefault="001F3AE1" w:rsidP="001F3A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F3AE1" w:rsidRPr="00CD2BDB" w:rsidRDefault="001F3AE1" w:rsidP="001F3A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3AE1" w:rsidRPr="00CD2BDB" w:rsidRDefault="001F3AE1" w:rsidP="00A4548D">
            <w:pPr>
              <w:jc w:val="center"/>
              <w:rPr>
                <w:color w:val="000000"/>
                <w:sz w:val="18"/>
                <w:szCs w:val="18"/>
              </w:rPr>
            </w:pPr>
            <w:r w:rsidRPr="00CD2BDB">
              <w:rPr>
                <w:color w:val="000000"/>
                <w:sz w:val="18"/>
                <w:szCs w:val="18"/>
              </w:rPr>
              <w:t xml:space="preserve">одобрено распоряжением Правительства Архангельской области от 10 </w:t>
            </w:r>
            <w:r w:rsidR="00A4548D" w:rsidRPr="00CD2BDB">
              <w:rPr>
                <w:color w:val="000000"/>
                <w:sz w:val="18"/>
                <w:szCs w:val="18"/>
              </w:rPr>
              <w:t>октя</w:t>
            </w:r>
            <w:r w:rsidRPr="00CD2BDB">
              <w:rPr>
                <w:color w:val="000000"/>
                <w:sz w:val="18"/>
                <w:szCs w:val="18"/>
              </w:rPr>
              <w:t>бря 201</w:t>
            </w:r>
            <w:r w:rsidR="00A4548D" w:rsidRPr="00CD2BDB">
              <w:rPr>
                <w:color w:val="000000"/>
                <w:sz w:val="18"/>
                <w:szCs w:val="18"/>
              </w:rPr>
              <w:t>7</w:t>
            </w:r>
            <w:r w:rsidRPr="00CD2BDB">
              <w:rPr>
                <w:color w:val="000000"/>
                <w:sz w:val="18"/>
                <w:szCs w:val="18"/>
              </w:rPr>
              <w:t xml:space="preserve"> г. № 4</w:t>
            </w:r>
            <w:r w:rsidR="00A4548D" w:rsidRPr="00CD2BDB">
              <w:rPr>
                <w:color w:val="000000"/>
                <w:sz w:val="18"/>
                <w:szCs w:val="18"/>
              </w:rPr>
              <w:t>10</w:t>
            </w:r>
            <w:r w:rsidRPr="00CD2BDB">
              <w:rPr>
                <w:color w:val="000000"/>
                <w:sz w:val="18"/>
                <w:szCs w:val="18"/>
              </w:rPr>
              <w:t>-рп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3AE1" w:rsidRPr="00CD2BDB" w:rsidRDefault="001F3AE1" w:rsidP="00A4548D">
            <w:pPr>
              <w:jc w:val="center"/>
              <w:rPr>
                <w:color w:val="000000"/>
                <w:sz w:val="18"/>
                <w:szCs w:val="18"/>
              </w:rPr>
            </w:pPr>
            <w:r w:rsidRPr="00CD2BDB">
              <w:rPr>
                <w:color w:val="000000"/>
                <w:sz w:val="18"/>
                <w:szCs w:val="18"/>
              </w:rPr>
              <w:t>в рамках разработки проекта областного бюджета на 201</w:t>
            </w:r>
            <w:r w:rsidR="00A4548D" w:rsidRPr="00CD2BDB">
              <w:rPr>
                <w:color w:val="000000"/>
                <w:sz w:val="18"/>
                <w:szCs w:val="18"/>
              </w:rPr>
              <w:t xml:space="preserve">9 </w:t>
            </w:r>
            <w:r w:rsidRPr="00CD2BDB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/>
            <w:vAlign w:val="center"/>
            <w:hideMark/>
          </w:tcPr>
          <w:p w:rsidR="001F3AE1" w:rsidRPr="00CD2BDB" w:rsidRDefault="001F3AE1" w:rsidP="001F3AE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F3AE1" w:rsidRPr="00CD2BDB" w:rsidRDefault="001F3AE1" w:rsidP="001F3AE1">
            <w:pPr>
              <w:rPr>
                <w:sz w:val="18"/>
                <w:szCs w:val="18"/>
              </w:rPr>
            </w:pPr>
          </w:p>
        </w:tc>
      </w:tr>
      <w:tr w:rsidR="001F3AE1" w:rsidRPr="003626D9" w:rsidTr="001F3AE1">
        <w:trPr>
          <w:tblHeader/>
        </w:trPr>
        <w:tc>
          <w:tcPr>
            <w:tcW w:w="2689" w:type="dxa"/>
            <w:vMerge/>
            <w:vAlign w:val="center"/>
          </w:tcPr>
          <w:p w:rsidR="001F3AE1" w:rsidRPr="00CD2BDB" w:rsidRDefault="001F3AE1" w:rsidP="001F3A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F3AE1" w:rsidRPr="00CD2BDB" w:rsidRDefault="001F3AE1" w:rsidP="001F3A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F3AE1" w:rsidRPr="00CD2BDB" w:rsidRDefault="00A4548D" w:rsidP="001F3AE1">
            <w:pPr>
              <w:jc w:val="center"/>
              <w:rPr>
                <w:color w:val="000000"/>
                <w:sz w:val="18"/>
                <w:szCs w:val="18"/>
              </w:rPr>
            </w:pPr>
            <w:r w:rsidRPr="00CD2BDB">
              <w:rPr>
                <w:color w:val="000000"/>
                <w:sz w:val="18"/>
                <w:szCs w:val="18"/>
              </w:rPr>
              <w:t>2</w:t>
            </w:r>
            <w:r w:rsidR="001F3AE1" w:rsidRPr="00CD2BDB">
              <w:rPr>
                <w:color w:val="000000"/>
                <w:sz w:val="18"/>
                <w:szCs w:val="18"/>
              </w:rPr>
              <w:t xml:space="preserve"> вариант (базовый)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3AE1" w:rsidRPr="00CD2BDB" w:rsidRDefault="001F3AE1" w:rsidP="001F3AE1">
            <w:pPr>
              <w:jc w:val="center"/>
              <w:rPr>
                <w:color w:val="000000"/>
                <w:sz w:val="18"/>
                <w:szCs w:val="18"/>
              </w:rPr>
            </w:pPr>
            <w:r w:rsidRPr="00CD2BDB">
              <w:rPr>
                <w:color w:val="000000"/>
                <w:sz w:val="18"/>
                <w:szCs w:val="18"/>
              </w:rPr>
              <w:t>2 вариант (базовый)</w:t>
            </w:r>
          </w:p>
        </w:tc>
        <w:tc>
          <w:tcPr>
            <w:tcW w:w="850" w:type="dxa"/>
            <w:vMerge/>
            <w:vAlign w:val="center"/>
          </w:tcPr>
          <w:p w:rsidR="001F3AE1" w:rsidRPr="00CD2BDB" w:rsidRDefault="001F3AE1" w:rsidP="001F3AE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F3AE1" w:rsidRPr="00CD2BDB" w:rsidRDefault="001F3AE1" w:rsidP="001F3AE1">
            <w:pPr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CD2BDB">
              <w:rPr>
                <w:b/>
                <w:bCs/>
                <w:sz w:val="18"/>
                <w:szCs w:val="18"/>
              </w:rPr>
              <w:t>Демографические показатели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CD2BDB" w:rsidRDefault="00EF5FAF" w:rsidP="00EF5FAF">
            <w:pPr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Численность постоянного населения (среднегодовая), в том числе: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1 101,62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1 096,95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-0,4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F442C8" w:rsidRDefault="00EF5FAF" w:rsidP="00EF5FAF">
            <w:pPr>
              <w:ind w:firstLineChars="300" w:firstLine="540"/>
              <w:rPr>
                <w:sz w:val="18"/>
                <w:szCs w:val="18"/>
              </w:rPr>
            </w:pPr>
            <w:r w:rsidRPr="00F442C8">
              <w:rPr>
                <w:sz w:val="18"/>
                <w:szCs w:val="18"/>
              </w:rPr>
              <w:t>городское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F442C8" w:rsidRDefault="00EF5FAF" w:rsidP="00EF5FAF">
            <w:pPr>
              <w:jc w:val="center"/>
              <w:rPr>
                <w:sz w:val="18"/>
                <w:szCs w:val="18"/>
              </w:rPr>
            </w:pPr>
            <w:r w:rsidRPr="00F442C8">
              <w:rPr>
                <w:sz w:val="18"/>
                <w:szCs w:val="18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F442C8" w:rsidRDefault="00EF5FAF" w:rsidP="00EF5FAF">
            <w:pPr>
              <w:jc w:val="center"/>
              <w:rPr>
                <w:sz w:val="18"/>
                <w:szCs w:val="18"/>
              </w:rPr>
            </w:pPr>
            <w:r w:rsidRPr="00F442C8">
              <w:rPr>
                <w:sz w:val="18"/>
                <w:szCs w:val="18"/>
              </w:rPr>
              <w:t>869,30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F442C8" w:rsidRDefault="00EF5FAF" w:rsidP="00EF5FAF">
            <w:pPr>
              <w:jc w:val="center"/>
              <w:rPr>
                <w:sz w:val="18"/>
                <w:szCs w:val="18"/>
              </w:rPr>
            </w:pPr>
            <w:r w:rsidRPr="00F442C8">
              <w:rPr>
                <w:sz w:val="18"/>
                <w:szCs w:val="18"/>
              </w:rPr>
              <w:t>869,30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F442C8" w:rsidRDefault="00EF5FAF" w:rsidP="00EF5FAF">
            <w:pPr>
              <w:jc w:val="center"/>
              <w:rPr>
                <w:sz w:val="18"/>
                <w:szCs w:val="18"/>
              </w:rPr>
            </w:pPr>
            <w:r w:rsidRPr="00F442C8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442C8" w:rsidRPr="00F442C8" w:rsidRDefault="00F442C8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F442C8" w:rsidRDefault="00EF5FAF" w:rsidP="00EF5FAF">
            <w:pPr>
              <w:ind w:firstLineChars="300" w:firstLine="540"/>
              <w:rPr>
                <w:sz w:val="18"/>
                <w:szCs w:val="18"/>
              </w:rPr>
            </w:pPr>
            <w:r w:rsidRPr="00F442C8">
              <w:rPr>
                <w:sz w:val="18"/>
                <w:szCs w:val="18"/>
              </w:rPr>
              <w:t>сельское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F442C8" w:rsidRDefault="00EF5FAF" w:rsidP="00EF5FAF">
            <w:pPr>
              <w:jc w:val="center"/>
              <w:rPr>
                <w:sz w:val="18"/>
                <w:szCs w:val="18"/>
              </w:rPr>
            </w:pPr>
            <w:r w:rsidRPr="00F442C8">
              <w:rPr>
                <w:sz w:val="18"/>
                <w:szCs w:val="18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F442C8" w:rsidRDefault="00EF5FAF" w:rsidP="00EF5FAF">
            <w:pPr>
              <w:jc w:val="center"/>
              <w:rPr>
                <w:sz w:val="18"/>
                <w:szCs w:val="18"/>
              </w:rPr>
            </w:pPr>
            <w:r w:rsidRPr="00F442C8">
              <w:rPr>
                <w:sz w:val="18"/>
                <w:szCs w:val="18"/>
              </w:rPr>
              <w:t>232,32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F442C8" w:rsidRDefault="00EF5FAF" w:rsidP="00EF5FAF">
            <w:pPr>
              <w:jc w:val="center"/>
              <w:rPr>
                <w:sz w:val="18"/>
                <w:szCs w:val="18"/>
              </w:rPr>
            </w:pPr>
            <w:r w:rsidRPr="00F442C8">
              <w:rPr>
                <w:sz w:val="18"/>
                <w:szCs w:val="18"/>
              </w:rPr>
              <w:t>227,65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F442C8" w:rsidRDefault="00EF5FAF" w:rsidP="00EF5FAF">
            <w:pPr>
              <w:jc w:val="center"/>
              <w:rPr>
                <w:sz w:val="18"/>
                <w:szCs w:val="18"/>
              </w:rPr>
            </w:pPr>
            <w:r w:rsidRPr="00F442C8">
              <w:rPr>
                <w:sz w:val="18"/>
                <w:szCs w:val="18"/>
              </w:rPr>
              <w:t>-2,0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F442C8" w:rsidRDefault="00EF5FAF" w:rsidP="001629FE">
            <w:pPr>
              <w:rPr>
                <w:sz w:val="18"/>
                <w:szCs w:val="18"/>
              </w:rPr>
            </w:pPr>
          </w:p>
        </w:tc>
      </w:tr>
      <w:tr w:rsidR="001629FE" w:rsidRPr="003626D9" w:rsidTr="001629FE">
        <w:tc>
          <w:tcPr>
            <w:tcW w:w="2689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70,96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72,63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2,4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629FE" w:rsidRPr="00CD2BDB" w:rsidRDefault="001629FE" w:rsidP="00F442C8">
            <w:pPr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 xml:space="preserve">Демографические показатели скорректированы с учетом итогов </w:t>
            </w:r>
            <w:r w:rsidR="00F442C8" w:rsidRPr="00CD2BDB">
              <w:rPr>
                <w:sz w:val="18"/>
                <w:szCs w:val="18"/>
              </w:rPr>
              <w:t xml:space="preserve">за </w:t>
            </w:r>
            <w:r w:rsidRPr="00CD2BDB">
              <w:rPr>
                <w:sz w:val="18"/>
                <w:szCs w:val="18"/>
              </w:rPr>
              <w:t xml:space="preserve">2017 год и </w:t>
            </w:r>
            <w:r w:rsidR="00F442C8" w:rsidRPr="00CD2BDB">
              <w:rPr>
                <w:sz w:val="18"/>
                <w:szCs w:val="18"/>
              </w:rPr>
              <w:t>данных Росстата по перспективной численности</w:t>
            </w:r>
          </w:p>
        </w:tc>
      </w:tr>
      <w:tr w:rsidR="001629FE" w:rsidRPr="003626D9" w:rsidTr="00D20828">
        <w:tc>
          <w:tcPr>
            <w:tcW w:w="2689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11,90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9,65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-18,9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1629FE" w:rsidRPr="00CD2BDB" w:rsidRDefault="001629FE" w:rsidP="00D20828">
            <w:pPr>
              <w:rPr>
                <w:sz w:val="18"/>
                <w:szCs w:val="18"/>
              </w:rPr>
            </w:pPr>
          </w:p>
        </w:tc>
      </w:tr>
      <w:tr w:rsidR="001629FE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13,66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11,88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-13,0</w:t>
            </w:r>
          </w:p>
        </w:tc>
        <w:tc>
          <w:tcPr>
            <w:tcW w:w="2126" w:type="dxa"/>
            <w:vMerge/>
            <w:shd w:val="clear" w:color="auto" w:fill="auto"/>
            <w:vAlign w:val="bottom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1629FE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Число родившихся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13 110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10 585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-19,3</w:t>
            </w:r>
          </w:p>
        </w:tc>
        <w:tc>
          <w:tcPr>
            <w:tcW w:w="2126" w:type="dxa"/>
            <w:vMerge/>
            <w:shd w:val="clear" w:color="auto" w:fill="auto"/>
            <w:vAlign w:val="bottom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1629FE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Число умерших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15 052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13 035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-13,4</w:t>
            </w:r>
          </w:p>
        </w:tc>
        <w:tc>
          <w:tcPr>
            <w:tcW w:w="2126" w:type="dxa"/>
            <w:vMerge/>
            <w:shd w:val="clear" w:color="auto" w:fill="auto"/>
            <w:vAlign w:val="bottom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1629FE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Сальдо миграции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-5 980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-6 610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10,5</w:t>
            </w:r>
          </w:p>
        </w:tc>
        <w:tc>
          <w:tcPr>
            <w:tcW w:w="2126" w:type="dxa"/>
            <w:vMerge/>
            <w:shd w:val="clear" w:color="auto" w:fill="auto"/>
            <w:vAlign w:val="bottom"/>
            <w:hideMark/>
          </w:tcPr>
          <w:p w:rsidR="001629FE" w:rsidRPr="00CD2BDB" w:rsidRDefault="001629FE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CD2BDB" w:rsidRDefault="00EF5FAF" w:rsidP="00EF5FAF">
            <w:pPr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BC3ED7">
              <w:rPr>
                <w:b/>
                <w:bCs/>
                <w:sz w:val="18"/>
                <w:szCs w:val="18"/>
              </w:rPr>
              <w:t>Валовой региональный продукт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Валовой региональный продукт (в основных ценах соответствующих лет) –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563 094,06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C3ED7" w:rsidRDefault="00BC3ED7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538 589,60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C3ED7" w:rsidRDefault="00EF5FAF" w:rsidP="00BC3ED7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-</w:t>
            </w:r>
            <w:r w:rsidR="00BC3ED7" w:rsidRPr="00BC3ED7">
              <w:rPr>
                <w:sz w:val="18"/>
                <w:szCs w:val="18"/>
              </w:rPr>
              <w:t>4,4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right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индекс физического объема валового регионального продукта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103,44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C3ED7" w:rsidRDefault="00BC3ED7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102,22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C3ED7" w:rsidRDefault="00EF5FAF" w:rsidP="00BC3ED7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-</w:t>
            </w:r>
            <w:r w:rsidR="00BC3ED7" w:rsidRPr="00BC3ED7">
              <w:rPr>
                <w:sz w:val="18"/>
                <w:szCs w:val="18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BC3ED7" w:rsidRDefault="00EF5FAF" w:rsidP="00EF5FAF">
            <w:pPr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BC3ED7">
              <w:rPr>
                <w:b/>
                <w:bCs/>
                <w:sz w:val="18"/>
                <w:szCs w:val="18"/>
              </w:rPr>
              <w:t>Промышленное производство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110,05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C3ED7" w:rsidRDefault="00EF5FAF" w:rsidP="00BC3ED7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104,8</w:t>
            </w:r>
            <w:r w:rsidR="00BC3ED7" w:rsidRPr="00BC3ED7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-5,2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BC3ED7" w:rsidRDefault="00D20828" w:rsidP="00D20828">
            <w:pPr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П</w:t>
            </w:r>
            <w:r w:rsidR="00EF5FAF" w:rsidRPr="00BC3ED7">
              <w:rPr>
                <w:sz w:val="18"/>
                <w:szCs w:val="18"/>
              </w:rPr>
              <w:t>оказател</w:t>
            </w:r>
            <w:r w:rsidRPr="00BC3ED7">
              <w:rPr>
                <w:sz w:val="18"/>
                <w:szCs w:val="18"/>
              </w:rPr>
              <w:t>ь</w:t>
            </w:r>
            <w:r w:rsidR="00EF5FAF" w:rsidRPr="00BC3ED7">
              <w:rPr>
                <w:sz w:val="18"/>
                <w:szCs w:val="18"/>
              </w:rPr>
              <w:t xml:space="preserve"> скорректирован</w:t>
            </w:r>
            <w:r w:rsidRPr="00BC3ED7">
              <w:rPr>
                <w:sz w:val="18"/>
                <w:szCs w:val="18"/>
              </w:rPr>
              <w:t xml:space="preserve"> </w:t>
            </w:r>
            <w:r w:rsidR="00EF5FAF" w:rsidRPr="00BC3ED7">
              <w:rPr>
                <w:sz w:val="18"/>
                <w:szCs w:val="18"/>
              </w:rPr>
              <w:t>с учетом итогов 2017 года и текущей статистической отчетности. Кроме того, корректировка базируется на уточнении производственных программ ряда крупнейших предприятий (в разрезе основных видов экономической деятельности)</w:t>
            </w: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BC3ED7" w:rsidRDefault="00EF5FAF" w:rsidP="00EF5FAF">
            <w:pPr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3ED7">
              <w:rPr>
                <w:b/>
                <w:bCs/>
                <w:i/>
                <w:iCs/>
                <w:sz w:val="18"/>
                <w:szCs w:val="18"/>
              </w:rPr>
              <w:t>Добыча полезных ископаемых (раздел B)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BC3E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BC3E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BC3E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Добыча полезных ископаемых –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36 306,30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C3ED7" w:rsidRDefault="00BC3ED7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38 124,49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C3ED7" w:rsidRDefault="00BC3ED7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5,0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BC3ED7" w:rsidRDefault="00BC3ED7" w:rsidP="00BC3ED7">
            <w:pPr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Показатель скорректирован с учетом итогов 2017 года и текущей статистической отчетности.</w:t>
            </w: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right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lastRenderedPageBreak/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105,68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106,90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  <w:r w:rsidRPr="00BC3ED7">
              <w:rPr>
                <w:sz w:val="18"/>
                <w:szCs w:val="18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BC3ED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CD2BDB" w:rsidRDefault="00EF5FAF" w:rsidP="00EF5FAF">
            <w:pPr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2BDB">
              <w:rPr>
                <w:b/>
                <w:bCs/>
                <w:i/>
                <w:iCs/>
                <w:sz w:val="18"/>
                <w:szCs w:val="18"/>
              </w:rPr>
              <w:t>Обрабатывающие производства (раздел C)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CD2BD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  <w:r w:rsidRPr="00CD2BD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CD2BDB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D20828" w:rsidRPr="003626D9" w:rsidTr="00D20828">
        <w:tc>
          <w:tcPr>
            <w:tcW w:w="2689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Обрабатывающие производства –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331 516,54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B46897" w:rsidRDefault="00343386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296 225,37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B46897" w:rsidRDefault="00D20828" w:rsidP="00343386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-</w:t>
            </w:r>
            <w:r w:rsidR="00343386" w:rsidRPr="00B46897">
              <w:rPr>
                <w:sz w:val="18"/>
                <w:szCs w:val="18"/>
              </w:rPr>
              <w:t>10,6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D20828" w:rsidRPr="00B46897" w:rsidRDefault="00D20828" w:rsidP="00D20828">
            <w:pPr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Основное влияние на корректировку показателя по разделу С промышленного производства "обрабатывающие производства" оказало уточнение данных по виду экономической деятельности "производство прочих транспортных средств и оборудования", что, в свою очередь базируется на уточнении производственных программ ведущих предприятий данной отрасли.</w:t>
            </w:r>
          </w:p>
        </w:tc>
      </w:tr>
      <w:tr w:rsidR="00D20828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right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112,35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B46897" w:rsidRDefault="00D20828" w:rsidP="00343386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105,0</w:t>
            </w:r>
            <w:r w:rsidR="00343386" w:rsidRPr="00B46897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-7,3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B46897" w:rsidRDefault="00EF5FAF" w:rsidP="00EF5FAF">
            <w:pPr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по основным видам деятельности: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1) производство пищевых продуктов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10 531,44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46897" w:rsidRDefault="00B46897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9 558,36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46897" w:rsidRDefault="00EF5FAF" w:rsidP="00B46897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-</w:t>
            </w:r>
            <w:r w:rsidR="00B46897" w:rsidRPr="00B46897">
              <w:rPr>
                <w:sz w:val="18"/>
                <w:szCs w:val="18"/>
              </w:rPr>
              <w:t>9,2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B46897" w:rsidRDefault="00B46897" w:rsidP="00B46897">
            <w:pPr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Показатель скорректирован с учетом итогов 2017 года и текущей статистической отчетности.</w:t>
            </w: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right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101,14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-1,1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B46897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D20828" w:rsidRPr="003626D9" w:rsidTr="00D20828">
        <w:tc>
          <w:tcPr>
            <w:tcW w:w="2689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2) производство напитков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2 353,80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B46897" w:rsidRDefault="00B46897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3 009,94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B46897" w:rsidRDefault="00B46897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27,9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D20828" w:rsidRPr="00B46897" w:rsidRDefault="00D20828" w:rsidP="00D20828">
            <w:pPr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 xml:space="preserve">Увеличение объема отгруженных товаров по виду экономической деятельности "производство напитков" обусловлено успешной работой предприятий отрасли в 2017-2018 гг. - увеличилась база для расчета. Прогнозируемое снижение индекса производства связано </w:t>
            </w:r>
            <w:r w:rsidRPr="00B46897">
              <w:rPr>
                <w:sz w:val="18"/>
                <w:szCs w:val="18"/>
              </w:rPr>
              <w:br/>
              <w:t>с возможным снижением активной деятельности на рынке за пределами области.</w:t>
            </w:r>
          </w:p>
        </w:tc>
      </w:tr>
      <w:tr w:rsidR="00D20828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right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100,50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B46897" w:rsidRDefault="00B46897" w:rsidP="00EF5FAF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98,7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B46897" w:rsidRDefault="00B46897" w:rsidP="00B46897">
            <w:pPr>
              <w:jc w:val="center"/>
              <w:rPr>
                <w:sz w:val="18"/>
                <w:szCs w:val="18"/>
              </w:rPr>
            </w:pPr>
            <w:r w:rsidRPr="00B46897">
              <w:rPr>
                <w:sz w:val="18"/>
                <w:szCs w:val="18"/>
              </w:rPr>
              <w:t>-1,8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0828" w:rsidRPr="00B46897" w:rsidRDefault="00D20828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D20828" w:rsidRPr="003626D9" w:rsidTr="00D20828">
        <w:tc>
          <w:tcPr>
            <w:tcW w:w="2689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 xml:space="preserve">3) обработка древесины и производство изделий из дерева и пробки, кроме мебели, производство изделий из соломки и материалов для </w:t>
            </w:r>
            <w:r w:rsidRPr="009F5D00">
              <w:rPr>
                <w:sz w:val="18"/>
                <w:szCs w:val="18"/>
              </w:rPr>
              <w:lastRenderedPageBreak/>
              <w:t>плетения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lastRenderedPageBreak/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31 236,38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9F5D00" w:rsidRDefault="009F5D00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37 706,13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9F5D00" w:rsidRDefault="009F5D00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17,4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D20828" w:rsidRPr="009F5D00" w:rsidRDefault="00D20828" w:rsidP="00D20828">
            <w:pPr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 xml:space="preserve">Показатель скорректирован </w:t>
            </w:r>
            <w:r w:rsidRPr="009F5D00">
              <w:rPr>
                <w:sz w:val="18"/>
                <w:szCs w:val="18"/>
              </w:rPr>
              <w:br/>
              <w:t xml:space="preserve">с учетом итогов 2017 года и текущей статистической </w:t>
            </w:r>
            <w:r w:rsidRPr="009F5D00">
              <w:rPr>
                <w:sz w:val="18"/>
                <w:szCs w:val="18"/>
              </w:rPr>
              <w:lastRenderedPageBreak/>
              <w:t>отчетности, а также с учетом увеличения стоимости отгруженной продукции</w:t>
            </w:r>
          </w:p>
        </w:tc>
      </w:tr>
      <w:tr w:rsidR="00D20828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right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lastRenderedPageBreak/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101,00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97,00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-4,0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0828" w:rsidRPr="003626D9" w:rsidRDefault="00D20828" w:rsidP="00EF5F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20828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4) производство бумаги и бумажных изделий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77 108,48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9F5D00" w:rsidRDefault="009F5D00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96 835,69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9F5D00" w:rsidRDefault="009F5D00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25,6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  <w:hideMark/>
          </w:tcPr>
          <w:p w:rsidR="00D20828" w:rsidRPr="009F5D00" w:rsidRDefault="00D20828" w:rsidP="00EF5FAF">
            <w:pPr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 xml:space="preserve">Показатель скорректирован </w:t>
            </w:r>
            <w:r w:rsidRPr="009F5D00">
              <w:rPr>
                <w:sz w:val="18"/>
                <w:szCs w:val="18"/>
              </w:rPr>
              <w:br/>
              <w:t xml:space="preserve">с учетом итогов 2017 года и текущей статистической отчетности, а также </w:t>
            </w:r>
            <w:r w:rsidRPr="009F5D00">
              <w:rPr>
                <w:sz w:val="18"/>
                <w:szCs w:val="18"/>
              </w:rPr>
              <w:br/>
              <w:t>с учетом увеличения стоимости отгруженной продукции</w:t>
            </w:r>
          </w:p>
        </w:tc>
      </w:tr>
      <w:tr w:rsidR="00D20828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right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104,00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  <w:r w:rsidRPr="009F5D00">
              <w:rPr>
                <w:sz w:val="18"/>
                <w:szCs w:val="18"/>
              </w:rPr>
              <w:t>-4,0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0828" w:rsidRPr="009F5D00" w:rsidRDefault="00D20828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960D7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960D7" w:rsidRPr="00E960D7" w:rsidRDefault="00E960D7" w:rsidP="00EF5FAF">
            <w:pPr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5) производство химических веществ и химических продуктов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60D7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60D7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5 252,12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60D7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4 819,89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60D7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-8,2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960D7" w:rsidRPr="003626D9" w:rsidRDefault="00E960D7" w:rsidP="00E960D7">
            <w:pPr>
              <w:rPr>
                <w:sz w:val="18"/>
                <w:szCs w:val="18"/>
                <w:highlight w:val="yellow"/>
              </w:rPr>
            </w:pPr>
            <w:r w:rsidRPr="00B46897">
              <w:rPr>
                <w:sz w:val="18"/>
                <w:szCs w:val="18"/>
              </w:rPr>
              <w:t>Показатель скорректирован с учетом итогов 2017 года и текущей статистической отчетности.</w:t>
            </w:r>
          </w:p>
        </w:tc>
      </w:tr>
      <w:tr w:rsidR="00E960D7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960D7" w:rsidRPr="00E960D7" w:rsidRDefault="00E960D7" w:rsidP="00EF5FAF">
            <w:pPr>
              <w:jc w:val="right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60D7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60D7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105,40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60D7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100,3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60D7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-5,1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960D7" w:rsidRPr="003626D9" w:rsidRDefault="00E960D7" w:rsidP="00EF5F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20828" w:rsidRPr="003626D9" w:rsidTr="00D20828">
        <w:tc>
          <w:tcPr>
            <w:tcW w:w="2689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6) производство прочей неметаллической минеральной продукции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2 102,22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1 724,30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-18,0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D20828" w:rsidRPr="00E960D7" w:rsidRDefault="00D20828" w:rsidP="00D20828">
            <w:pPr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 xml:space="preserve">Показатель скорректирован </w:t>
            </w:r>
            <w:r w:rsidRPr="00E960D7">
              <w:rPr>
                <w:sz w:val="18"/>
                <w:szCs w:val="18"/>
              </w:rPr>
              <w:br/>
              <w:t>с учетом итогов 2017 года и текущей статистической отчетности, в том числе по производству основных видов продукции (строительных материалов)</w:t>
            </w:r>
          </w:p>
        </w:tc>
      </w:tr>
      <w:tr w:rsidR="00D20828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right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101,87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100,91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-1,0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D20828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7) производство машин и оборудования, не включенных в другие группировки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1 880,43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1 707,42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E960D7" w:rsidRDefault="00E960D7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-9,2</w:t>
            </w:r>
          </w:p>
        </w:tc>
        <w:tc>
          <w:tcPr>
            <w:tcW w:w="2126" w:type="dxa"/>
            <w:vMerge w:val="restart"/>
            <w:shd w:val="clear" w:color="auto" w:fill="auto"/>
            <w:vAlign w:val="bottom"/>
            <w:hideMark/>
          </w:tcPr>
          <w:p w:rsidR="00D20828" w:rsidRPr="00E960D7" w:rsidRDefault="00D20828" w:rsidP="00D20828">
            <w:pPr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 xml:space="preserve">Показатель скорректирован </w:t>
            </w:r>
            <w:r w:rsidRPr="00E960D7">
              <w:rPr>
                <w:sz w:val="18"/>
                <w:szCs w:val="18"/>
              </w:rPr>
              <w:br/>
              <w:t xml:space="preserve">с учетом итогов 2017 года и текущей статистической отчетности </w:t>
            </w:r>
          </w:p>
        </w:tc>
      </w:tr>
      <w:tr w:rsidR="00D20828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right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102,77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60D7" w:rsidRPr="00E960D7" w:rsidRDefault="00E960D7" w:rsidP="00E960D7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100,6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E960D7" w:rsidRDefault="00D20828" w:rsidP="00E960D7">
            <w:pPr>
              <w:jc w:val="center"/>
              <w:rPr>
                <w:sz w:val="18"/>
                <w:szCs w:val="18"/>
              </w:rPr>
            </w:pPr>
            <w:r w:rsidRPr="00E960D7">
              <w:rPr>
                <w:sz w:val="18"/>
                <w:szCs w:val="18"/>
              </w:rPr>
              <w:t>-</w:t>
            </w:r>
            <w:r w:rsidR="00E960D7" w:rsidRPr="00E960D7">
              <w:rPr>
                <w:sz w:val="18"/>
                <w:szCs w:val="18"/>
              </w:rPr>
              <w:t>2,2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0828" w:rsidRPr="00E960D7" w:rsidRDefault="00D20828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D20828" w:rsidRPr="003626D9" w:rsidTr="00D20828">
        <w:tc>
          <w:tcPr>
            <w:tcW w:w="2689" w:type="dxa"/>
            <w:shd w:val="clear" w:color="auto" w:fill="auto"/>
            <w:vAlign w:val="center"/>
            <w:hideMark/>
          </w:tcPr>
          <w:p w:rsidR="00D20828" w:rsidRPr="004D1EF8" w:rsidRDefault="00D20828" w:rsidP="00EF5FAF">
            <w:pPr>
              <w:rPr>
                <w:sz w:val="18"/>
                <w:szCs w:val="18"/>
              </w:rPr>
            </w:pPr>
            <w:r w:rsidRPr="004D1EF8">
              <w:rPr>
                <w:sz w:val="18"/>
                <w:szCs w:val="18"/>
              </w:rPr>
              <w:t xml:space="preserve">8) производство прочих транспортных средств и оборудования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4D1EF8" w:rsidRDefault="00D20828" w:rsidP="00EF5FAF">
            <w:pPr>
              <w:jc w:val="center"/>
              <w:rPr>
                <w:sz w:val="18"/>
                <w:szCs w:val="18"/>
              </w:rPr>
            </w:pPr>
            <w:r w:rsidRPr="004D1EF8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4D1EF8" w:rsidRDefault="00D20828" w:rsidP="00EF5FAF">
            <w:pPr>
              <w:jc w:val="center"/>
              <w:rPr>
                <w:sz w:val="18"/>
                <w:szCs w:val="18"/>
              </w:rPr>
            </w:pPr>
            <w:r w:rsidRPr="004D1EF8">
              <w:rPr>
                <w:sz w:val="18"/>
                <w:szCs w:val="18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4D1EF8" w:rsidRDefault="00D20828" w:rsidP="00EF5FAF">
            <w:pPr>
              <w:jc w:val="center"/>
              <w:rPr>
                <w:sz w:val="18"/>
                <w:szCs w:val="18"/>
              </w:rPr>
            </w:pPr>
            <w:r w:rsidRPr="004D1EF8">
              <w:rPr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4D1EF8" w:rsidRDefault="00D20828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D20828" w:rsidRPr="004D1EF8" w:rsidRDefault="00D20828" w:rsidP="00D20828">
            <w:pPr>
              <w:rPr>
                <w:sz w:val="18"/>
                <w:szCs w:val="18"/>
              </w:rPr>
            </w:pPr>
            <w:r w:rsidRPr="004D1EF8">
              <w:rPr>
                <w:sz w:val="18"/>
                <w:szCs w:val="18"/>
              </w:rPr>
              <w:t>Корректировка показателя базируется на уточнении производственных программ ведущих предприятий данной отрасли.</w:t>
            </w:r>
          </w:p>
        </w:tc>
      </w:tr>
      <w:tr w:rsidR="00D20828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D20828" w:rsidRPr="004D1EF8" w:rsidRDefault="00D20828" w:rsidP="00EF5FAF">
            <w:pPr>
              <w:jc w:val="right"/>
              <w:rPr>
                <w:sz w:val="18"/>
                <w:szCs w:val="18"/>
              </w:rPr>
            </w:pPr>
            <w:r w:rsidRPr="004D1EF8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0828" w:rsidRPr="004D1EF8" w:rsidRDefault="00D20828" w:rsidP="00EF5FAF">
            <w:pPr>
              <w:jc w:val="center"/>
              <w:rPr>
                <w:sz w:val="18"/>
                <w:szCs w:val="18"/>
              </w:rPr>
            </w:pPr>
            <w:r w:rsidRPr="004D1EF8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0828" w:rsidRPr="004D1EF8" w:rsidRDefault="00D20828" w:rsidP="00EF5FAF">
            <w:pPr>
              <w:jc w:val="center"/>
              <w:rPr>
                <w:sz w:val="18"/>
                <w:szCs w:val="18"/>
              </w:rPr>
            </w:pPr>
            <w:r w:rsidRPr="004D1EF8">
              <w:rPr>
                <w:sz w:val="18"/>
                <w:szCs w:val="18"/>
              </w:rPr>
              <w:t>124,70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828" w:rsidRPr="004D1EF8" w:rsidRDefault="00D20828" w:rsidP="00EF5FAF">
            <w:pPr>
              <w:jc w:val="center"/>
              <w:rPr>
                <w:sz w:val="18"/>
                <w:szCs w:val="18"/>
              </w:rPr>
            </w:pPr>
            <w:r w:rsidRPr="004D1EF8">
              <w:rPr>
                <w:sz w:val="18"/>
                <w:szCs w:val="18"/>
              </w:rPr>
              <w:t>160,30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828" w:rsidRPr="004D1EF8" w:rsidRDefault="00D20828" w:rsidP="00EF5FAF">
            <w:pPr>
              <w:jc w:val="center"/>
              <w:rPr>
                <w:sz w:val="18"/>
                <w:szCs w:val="18"/>
              </w:rPr>
            </w:pPr>
            <w:r w:rsidRPr="004D1EF8">
              <w:rPr>
                <w:sz w:val="18"/>
                <w:szCs w:val="18"/>
              </w:rPr>
              <w:t>35,6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0828" w:rsidRPr="004D1EF8" w:rsidRDefault="00D20828" w:rsidP="00EF5FAF">
            <w:pPr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4D1EF8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01EE3">
              <w:rPr>
                <w:b/>
                <w:bCs/>
                <w:i/>
                <w:iCs/>
                <w:sz w:val="18"/>
                <w:szCs w:val="18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3661A6" w:rsidRPr="004D1EF8" w:rsidTr="003661A6">
        <w:tc>
          <w:tcPr>
            <w:tcW w:w="2689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37 564,34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1A6" w:rsidRPr="00401EE3" w:rsidRDefault="003661A6" w:rsidP="004D1EF8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34</w:t>
            </w:r>
            <w:r w:rsidR="004D1EF8" w:rsidRPr="00401EE3">
              <w:rPr>
                <w:sz w:val="18"/>
                <w:szCs w:val="18"/>
              </w:rPr>
              <w:t> 995,07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61A6" w:rsidRPr="00401EE3" w:rsidRDefault="004D1EF8" w:rsidP="004D1EF8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-6,8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661A6" w:rsidRPr="00401EE3" w:rsidRDefault="003661A6" w:rsidP="003661A6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Показатель скорректирован </w:t>
            </w:r>
            <w:r w:rsidRPr="00401EE3">
              <w:rPr>
                <w:sz w:val="18"/>
                <w:szCs w:val="18"/>
              </w:rPr>
              <w:br/>
              <w:t>с учетом итогов 2017 года и текущей статистической отчетности</w:t>
            </w:r>
          </w:p>
        </w:tc>
      </w:tr>
      <w:tr w:rsidR="003661A6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101,90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01EE3">
              <w:rPr>
                <w:b/>
                <w:bCs/>
                <w:i/>
                <w:iCs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Водоснабжение; </w:t>
            </w:r>
            <w:r w:rsidRPr="00401EE3">
              <w:rPr>
                <w:sz w:val="18"/>
                <w:szCs w:val="18"/>
              </w:rPr>
              <w:lastRenderedPageBreak/>
              <w:t>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lastRenderedPageBreak/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6 114,70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220057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</w:t>
            </w:r>
            <w:r w:rsidR="00220057" w:rsidRPr="00401EE3">
              <w:rPr>
                <w:sz w:val="18"/>
                <w:szCs w:val="18"/>
              </w:rPr>
              <w:t> 222,93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220057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</w:t>
            </w:r>
            <w:r w:rsidR="00EF5FAF" w:rsidRPr="00401EE3">
              <w:rPr>
                <w:sz w:val="18"/>
                <w:szCs w:val="18"/>
              </w:rPr>
              <w:t>,8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lastRenderedPageBreak/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100,90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101,35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401EE3">
              <w:rPr>
                <w:b/>
                <w:bCs/>
                <w:sz w:val="18"/>
                <w:szCs w:val="18"/>
              </w:rPr>
              <w:t>Рыболовство и рыбоводство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Рыболовство и рыбоводство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11 794,39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11 794,39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97,98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97,98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401EE3">
              <w:rPr>
                <w:b/>
                <w:bCs/>
                <w:sz w:val="18"/>
                <w:szCs w:val="18"/>
              </w:rPr>
              <w:t xml:space="preserve">Сельское хозяйство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13 874,24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13 669,52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-1,5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99,46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100,38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C57E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Стоимость продукции сельского хозяйства по категориям хозяйств: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3661A6" w:rsidRPr="00C57E06" w:rsidTr="003661A6">
        <w:tc>
          <w:tcPr>
            <w:tcW w:w="2689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ind w:firstLineChars="300" w:firstLine="540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сельскохозяйственных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4 745,37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4 465,71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-5,9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661A6" w:rsidRPr="00401EE3" w:rsidRDefault="003661A6" w:rsidP="003661A6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Корректировка показателя обусловлена негативными явлениями в сфере животноводства (снижение производства мяса и яйца)</w:t>
            </w:r>
          </w:p>
        </w:tc>
      </w:tr>
      <w:tr w:rsidR="003661A6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ind w:firstLineChars="300" w:firstLine="540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крестьянских (фермерских) хозяйств и индивидуальных предпринимателей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812,85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761,36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-6,3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3661A6" w:rsidRPr="00401EE3" w:rsidRDefault="003661A6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ind w:firstLineChars="300" w:firstLine="540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хозяйств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8 316,02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8 442,45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1,5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401EE3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километров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12 106,50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11 943,00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-1,4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на конец года, километров дорог на 10 000 кв. километров территории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293,10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289,10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-1,4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62,17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61,31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-1,4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401EE3">
              <w:rPr>
                <w:b/>
                <w:bCs/>
                <w:sz w:val="18"/>
                <w:szCs w:val="18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  <w:r w:rsidRPr="00401E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Электроэнергия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млн.кВт·ч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6 820,70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6 655,00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-2,4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Валовой сбор зерна (в весе после доработки)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-1,5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Валовой сбор картофеля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128,00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128,00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Валовой сбор овощей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32,10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32,10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Скот и птицы на убой (в живом весе)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8,70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8,70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Молоко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124,70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124,70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Яйца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167906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167906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</w:t>
            </w:r>
            <w:r w:rsidR="00167906" w:rsidRPr="00401EE3">
              <w:rPr>
                <w:sz w:val="18"/>
                <w:szCs w:val="18"/>
              </w:rPr>
              <w:t>27</w:t>
            </w:r>
            <w:r w:rsidRPr="00401EE3">
              <w:rPr>
                <w:sz w:val="18"/>
                <w:szCs w:val="18"/>
              </w:rPr>
              <w:t>,3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3661A6" w:rsidP="003661A6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Корректировка о</w:t>
            </w:r>
            <w:r w:rsidR="00EF5FAF" w:rsidRPr="00401EE3">
              <w:rPr>
                <w:sz w:val="18"/>
                <w:szCs w:val="18"/>
              </w:rPr>
              <w:t>бусловлен</w:t>
            </w:r>
            <w:r w:rsidRPr="00401EE3">
              <w:rPr>
                <w:sz w:val="18"/>
                <w:szCs w:val="18"/>
              </w:rPr>
              <w:t>а</w:t>
            </w:r>
            <w:r w:rsidR="00EF5FAF" w:rsidRPr="00401EE3">
              <w:rPr>
                <w:sz w:val="18"/>
                <w:szCs w:val="18"/>
              </w:rPr>
              <w:t xml:space="preserve"> снижением объемов производства </w:t>
            </w:r>
            <w:r w:rsidR="00EF5FAF" w:rsidRPr="00401EE3">
              <w:rPr>
                <w:sz w:val="18"/>
                <w:szCs w:val="18"/>
              </w:rPr>
              <w:lastRenderedPageBreak/>
              <w:t>яиц птицефабриками региона в текущем году и прогнозном периоде</w:t>
            </w: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lastRenderedPageBreak/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Мясо и субпродукты пищевые домашней птицы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-31,3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F55115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К</w:t>
            </w:r>
            <w:r w:rsidR="00EF5FAF" w:rsidRPr="00401EE3">
              <w:rPr>
                <w:sz w:val="18"/>
                <w:szCs w:val="18"/>
              </w:rPr>
              <w:t>орректировка показателя обусловлена негативными явлениями в сфере животноводства (снижение производства мяса и яйца)</w:t>
            </w: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Молоко и молочная продукция (молоко, кроме сырого)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30,87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30,87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Изделия хлебобулочные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-2,2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Улов рыбы и добыча других морепродуктов,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130,80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130,80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ind w:firstLineChars="300" w:firstLine="540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в том числе по видам: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ind w:firstLineChars="300" w:firstLine="540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треска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61,60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61,60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ind w:firstLineChars="300" w:firstLine="540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пикша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16,20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ind w:firstLineChars="300" w:firstLine="540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сельдь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ind w:firstLineChars="300" w:firstLine="540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водоросли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Рыба переработанная и консервированная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91,00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105,50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15,9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F55115" w:rsidP="00F55115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</w:t>
            </w:r>
            <w:r w:rsidR="00EF5FAF" w:rsidRPr="00401EE3">
              <w:rPr>
                <w:sz w:val="18"/>
                <w:szCs w:val="18"/>
              </w:rPr>
              <w:t>оказатель скорректирован</w:t>
            </w:r>
            <w:r w:rsidRPr="00401EE3">
              <w:rPr>
                <w:sz w:val="18"/>
                <w:szCs w:val="18"/>
              </w:rPr>
              <w:t xml:space="preserve"> </w:t>
            </w:r>
            <w:r w:rsidRPr="00401EE3">
              <w:rPr>
                <w:sz w:val="18"/>
                <w:szCs w:val="18"/>
              </w:rPr>
              <w:br/>
            </w:r>
            <w:r w:rsidR="00EF5FAF" w:rsidRPr="00401EE3">
              <w:rPr>
                <w:sz w:val="18"/>
                <w:szCs w:val="18"/>
              </w:rPr>
              <w:t>с учетом итогов 2017 года и текущей статистической отчетности</w:t>
            </w:r>
          </w:p>
        </w:tc>
      </w:tr>
      <w:tr w:rsidR="00F55115" w:rsidRPr="00167906" w:rsidTr="00F55115">
        <w:tc>
          <w:tcPr>
            <w:tcW w:w="2689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Водка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декалитров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977,23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1 420,00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45,3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55115" w:rsidRPr="00401EE3" w:rsidRDefault="00F55115" w:rsidP="00F55115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Показатель скорректирован </w:t>
            </w:r>
            <w:r w:rsidRPr="00401EE3">
              <w:rPr>
                <w:sz w:val="18"/>
                <w:szCs w:val="18"/>
              </w:rPr>
              <w:br/>
              <w:t>с учетом итогов 2017 года и текущей статистической отчетности, а также перспективных планов предприятий отрасли</w:t>
            </w:r>
          </w:p>
        </w:tc>
      </w:tr>
      <w:tr w:rsidR="00F55115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Ликероводочные изделия с содержанием спирта до 25 процентов включительно от объема готовой продукции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декалитров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254,00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360,00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41,7</w:t>
            </w:r>
          </w:p>
        </w:tc>
        <w:tc>
          <w:tcPr>
            <w:tcW w:w="2126" w:type="dxa"/>
            <w:vMerge/>
            <w:shd w:val="clear" w:color="auto" w:fill="auto"/>
            <w:vAlign w:val="bottom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F55115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Ликероводочные изделия с содержанием спирта свыше 25 процентов от объема готовой продукции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декалитров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165,00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60,2</w:t>
            </w:r>
          </w:p>
        </w:tc>
        <w:tc>
          <w:tcPr>
            <w:tcW w:w="2126" w:type="dxa"/>
            <w:vMerge/>
            <w:shd w:val="clear" w:color="auto" w:fill="auto"/>
            <w:vAlign w:val="bottom"/>
            <w:hideMark/>
          </w:tcPr>
          <w:p w:rsidR="00F55115" w:rsidRPr="00401EE3" w:rsidRDefault="00F55115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Пиво, кроме отходов пивоварения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декалитров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297,00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Заготовка ликвидной древесины на арендуемых лесных участках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тыс. </w:t>
            </w:r>
            <w:proofErr w:type="spellStart"/>
            <w:r w:rsidRPr="00401EE3">
              <w:rPr>
                <w:sz w:val="18"/>
                <w:szCs w:val="18"/>
              </w:rPr>
              <w:t>плотн</w:t>
            </w:r>
            <w:proofErr w:type="spellEnd"/>
            <w:r w:rsidRPr="00401EE3">
              <w:rPr>
                <w:sz w:val="18"/>
                <w:szCs w:val="18"/>
              </w:rPr>
              <w:t>. куб. метров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11 100,00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11 514,00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3,7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Пиломатериалы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куб. метров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2 180,00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2 550,00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F55115" w:rsidP="00F55115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Показатель скорректирован </w:t>
            </w:r>
            <w:r w:rsidRPr="00401EE3">
              <w:rPr>
                <w:sz w:val="18"/>
                <w:szCs w:val="18"/>
              </w:rPr>
              <w:br/>
              <w:t>с учетом итогов 2017 года и текущей статистической отчетности, а также перспективных планов предприятий отрасли</w:t>
            </w: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Гранулы топливные (</w:t>
            </w:r>
            <w:proofErr w:type="spellStart"/>
            <w:r w:rsidRPr="00401EE3">
              <w:rPr>
                <w:sz w:val="18"/>
                <w:szCs w:val="18"/>
              </w:rPr>
              <w:t>пеллеты</w:t>
            </w:r>
            <w:proofErr w:type="spellEnd"/>
            <w:r w:rsidRPr="00401EE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-16,5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F55115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Показатель скорректирован </w:t>
            </w:r>
            <w:r w:rsidRPr="00401EE3">
              <w:rPr>
                <w:sz w:val="18"/>
                <w:szCs w:val="18"/>
              </w:rPr>
              <w:br/>
              <w:t xml:space="preserve">с учетом итогов 2017 года и текущей статистической </w:t>
            </w:r>
            <w:r w:rsidRPr="00401EE3">
              <w:rPr>
                <w:sz w:val="18"/>
                <w:szCs w:val="18"/>
              </w:rPr>
              <w:lastRenderedPageBreak/>
              <w:t>отчетности, а также перспективных планов предприятий отрасли</w:t>
            </w: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lastRenderedPageBreak/>
              <w:t>Фанера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куб. метров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140,00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Целлюлоза (товарная)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525,90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528,40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Бумага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597,30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594,20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167906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Картон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тонн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1 004,70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1 003,30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401EE3">
              <w:rPr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Объем выполненных работ по виду деятельности «Строительство»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49 066,61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58 821,78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19,9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9C79AD" w:rsidP="009C79AD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</w:t>
            </w:r>
            <w:r w:rsidR="00EF5FAF" w:rsidRPr="00401EE3">
              <w:rPr>
                <w:sz w:val="18"/>
                <w:szCs w:val="18"/>
              </w:rPr>
              <w:t>оказатель скорректирован</w:t>
            </w:r>
            <w:r w:rsidRPr="00401EE3">
              <w:rPr>
                <w:sz w:val="18"/>
                <w:szCs w:val="18"/>
              </w:rPr>
              <w:t xml:space="preserve"> </w:t>
            </w:r>
            <w:r w:rsidRPr="00401EE3">
              <w:rPr>
                <w:sz w:val="18"/>
                <w:szCs w:val="18"/>
              </w:rPr>
              <w:br/>
            </w:r>
            <w:r w:rsidR="00EF5FAF" w:rsidRPr="00401EE3">
              <w:rPr>
                <w:sz w:val="18"/>
                <w:szCs w:val="18"/>
              </w:rPr>
              <w:t xml:space="preserve">с учетом итогов 2017 года и текущей статистической отчетности </w:t>
            </w: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в сопоставимых ценах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103,20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кв. метров общей площади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338,40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338,40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401EE3">
              <w:rPr>
                <w:b/>
                <w:bCs/>
                <w:sz w:val="18"/>
                <w:szCs w:val="18"/>
              </w:rPr>
              <w:t>Рынок товаров и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Индекс потребительских цен (декабрь к декабрю предыдущего года)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103,97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104,32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Индекс потребительских цен (среднегодовой)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103,88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103,93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272 877,40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266 270,92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-2,4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101,88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102,33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14 970,92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14 743,55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-1,5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в сопоставимых ценах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102,74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-2,2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80 276,91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72 711,60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-9,4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9C79AD" w:rsidP="009C79AD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</w:t>
            </w:r>
            <w:r w:rsidR="00EF5FAF" w:rsidRPr="00401EE3">
              <w:rPr>
                <w:sz w:val="18"/>
                <w:szCs w:val="18"/>
              </w:rPr>
              <w:t>оказатель скорректирован</w:t>
            </w:r>
            <w:r w:rsidRPr="00401EE3">
              <w:rPr>
                <w:sz w:val="18"/>
                <w:szCs w:val="18"/>
              </w:rPr>
              <w:br/>
            </w:r>
            <w:r w:rsidR="00EF5FAF" w:rsidRPr="00401EE3">
              <w:rPr>
                <w:sz w:val="18"/>
                <w:szCs w:val="18"/>
              </w:rPr>
              <w:t xml:space="preserve">с учетом итогов 2017 года и текущей статистической отчетности </w:t>
            </w: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в сопоставимых ценах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102,54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100,71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-1,8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401EE3">
              <w:rPr>
                <w:b/>
                <w:bCs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Число малых и средних предприятий, включая </w:t>
            </w:r>
            <w:proofErr w:type="spellStart"/>
            <w:r w:rsidRPr="00401EE3">
              <w:rPr>
                <w:sz w:val="18"/>
                <w:szCs w:val="18"/>
              </w:rPr>
              <w:t>микропредприятия</w:t>
            </w:r>
            <w:proofErr w:type="spellEnd"/>
            <w:r w:rsidRPr="00401EE3">
              <w:rPr>
                <w:sz w:val="18"/>
                <w:szCs w:val="18"/>
              </w:rPr>
              <w:t xml:space="preserve"> (на конец года)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15 195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14 547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-4,3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Среднесписочная численность работников (без внешних совместителей) малых и средних предприятий, включая </w:t>
            </w:r>
            <w:proofErr w:type="spellStart"/>
            <w:r w:rsidRPr="00401EE3">
              <w:rPr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89,76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77,00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-14,2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9C79AD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Показатель скорректирован</w:t>
            </w:r>
            <w:r w:rsidRPr="00401EE3">
              <w:rPr>
                <w:sz w:val="18"/>
                <w:szCs w:val="18"/>
              </w:rPr>
              <w:br/>
              <w:t>с учетом итогов 2017 года и текущей статистической отчетности</w:t>
            </w: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Доля среднесписочной численности работников на </w:t>
            </w:r>
            <w:r w:rsidRPr="00401EE3">
              <w:rPr>
                <w:sz w:val="18"/>
                <w:szCs w:val="18"/>
              </w:rPr>
              <w:lastRenderedPageBreak/>
              <w:t>предприятиях малого и среднего предпринимательства в общей численности занятого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17,81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15,22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-2,6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lastRenderedPageBreak/>
              <w:t>Доля среднесписочной численности работников на предприятиях малого и среднего предпринимательства в общей численности занятого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100,20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401EE3">
              <w:rPr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млрд.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210,57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247,04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9C79AD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Показатель скорректирован</w:t>
            </w:r>
            <w:r w:rsidRPr="00401EE3">
              <w:rPr>
                <w:sz w:val="18"/>
                <w:szCs w:val="18"/>
              </w:rPr>
              <w:br/>
              <w:t>с учетом итогов 2017 года и текущей статистической отчетности</w:t>
            </w: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401EE3">
              <w:rPr>
                <w:b/>
                <w:bCs/>
                <w:sz w:val="18"/>
                <w:szCs w:val="18"/>
              </w:rPr>
              <w:t>Инвестиции</w:t>
            </w:r>
            <w:r w:rsidRPr="00401E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C61A1B" w:rsidRPr="003626D9" w:rsidTr="00C61A1B">
        <w:tc>
          <w:tcPr>
            <w:tcW w:w="2689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105 029,34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120 259,76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14,5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C61A1B" w:rsidRPr="00401EE3" w:rsidRDefault="00C61A1B" w:rsidP="00C61A1B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Показатель скорректирован </w:t>
            </w:r>
            <w:r w:rsidRPr="00401EE3">
              <w:rPr>
                <w:sz w:val="18"/>
                <w:szCs w:val="18"/>
              </w:rPr>
              <w:br/>
              <w:t>с учетом итогов 2017 года, текущей статистической отчетности и перспективных планов предприятий региона</w:t>
            </w:r>
          </w:p>
        </w:tc>
      </w:tr>
      <w:tr w:rsidR="00C61A1B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110,63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103,16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-9,3</w:t>
            </w:r>
          </w:p>
        </w:tc>
        <w:tc>
          <w:tcPr>
            <w:tcW w:w="2126" w:type="dxa"/>
            <w:vMerge/>
            <w:shd w:val="clear" w:color="auto" w:fill="auto"/>
            <w:vAlign w:val="bottom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C61A1B" w:rsidRPr="00C61A1B" w:rsidTr="00EF5FAF">
        <w:tc>
          <w:tcPr>
            <w:tcW w:w="2689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Объем инвестиций (в основной капитал) (за исключением бюджетных средств)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79 852,41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86 691,06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8,6</w:t>
            </w:r>
          </w:p>
        </w:tc>
        <w:tc>
          <w:tcPr>
            <w:tcW w:w="2126" w:type="dxa"/>
            <w:vMerge/>
            <w:shd w:val="clear" w:color="auto" w:fill="auto"/>
            <w:vAlign w:val="bottom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C61A1B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right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112,40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101,80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-10,6</w:t>
            </w:r>
          </w:p>
        </w:tc>
        <w:tc>
          <w:tcPr>
            <w:tcW w:w="2126" w:type="dxa"/>
            <w:vMerge/>
            <w:shd w:val="clear" w:color="auto" w:fill="auto"/>
            <w:vAlign w:val="bottom"/>
            <w:hideMark/>
          </w:tcPr>
          <w:p w:rsidR="00C61A1B" w:rsidRPr="00401EE3" w:rsidRDefault="00C61A1B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401EE3">
              <w:rPr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Прибыль прибыльных организаций, в том числе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60 681,28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66 520,67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9,6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9C79AD" w:rsidP="009C79AD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</w:t>
            </w:r>
            <w:r w:rsidR="00EF5FAF" w:rsidRPr="00401EE3">
              <w:rPr>
                <w:sz w:val="18"/>
                <w:szCs w:val="18"/>
              </w:rPr>
              <w:t xml:space="preserve">оказатель скорректирован </w:t>
            </w:r>
            <w:r w:rsidRPr="00401EE3">
              <w:rPr>
                <w:sz w:val="18"/>
                <w:szCs w:val="18"/>
              </w:rPr>
              <w:br/>
            </w:r>
            <w:r w:rsidR="00EF5FAF" w:rsidRPr="00401EE3">
              <w:rPr>
                <w:sz w:val="18"/>
                <w:szCs w:val="18"/>
              </w:rPr>
              <w:t>с учетом итогов 2017 года и текущей налоговой отчетности</w:t>
            </w: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401EE3">
              <w:rPr>
                <w:b/>
                <w:bCs/>
                <w:sz w:val="18"/>
                <w:szCs w:val="18"/>
              </w:rPr>
              <w:t>Денежные доходы и расходы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Денежные доходы населения,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486 332,83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457 453,51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-5,9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9C79AD" w:rsidP="001629FE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Показатель скорректирован </w:t>
            </w:r>
            <w:r w:rsidRPr="00401EE3">
              <w:rPr>
                <w:sz w:val="18"/>
                <w:szCs w:val="18"/>
              </w:rPr>
              <w:br/>
              <w:t xml:space="preserve">с учетом итогов 2017 года и текущей </w:t>
            </w:r>
            <w:r w:rsidR="001629FE" w:rsidRPr="00401EE3">
              <w:rPr>
                <w:sz w:val="18"/>
                <w:szCs w:val="18"/>
              </w:rPr>
              <w:t>статистической</w:t>
            </w:r>
            <w:r w:rsidRPr="00401EE3">
              <w:rPr>
                <w:sz w:val="18"/>
                <w:szCs w:val="18"/>
              </w:rPr>
              <w:t xml:space="preserve"> отчетности</w:t>
            </w:r>
            <w:r w:rsidR="00D569B6" w:rsidRPr="00401EE3">
              <w:rPr>
                <w:sz w:val="18"/>
                <w:szCs w:val="18"/>
              </w:rPr>
              <w:t xml:space="preserve"> и макроэкономических показателей, разработанных </w:t>
            </w:r>
            <w:proofErr w:type="spellStart"/>
            <w:r w:rsidR="00D569B6" w:rsidRPr="00401EE3">
              <w:rPr>
                <w:sz w:val="18"/>
                <w:szCs w:val="18"/>
              </w:rPr>
              <w:t>Минэкономразвтия</w:t>
            </w:r>
            <w:proofErr w:type="spellEnd"/>
            <w:r w:rsidR="00D569B6" w:rsidRPr="00401EE3">
              <w:rPr>
                <w:sz w:val="18"/>
                <w:szCs w:val="18"/>
              </w:rPr>
              <w:t xml:space="preserve"> России на 2019-2021 годы</w:t>
            </w: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Реальные располагаемые денежные доходы населения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101,20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100,50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Денежные доходы в расчете на душу населения в месяц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36 789,15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36 481,47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Расходы населения,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484 009,57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451 049,16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-6,8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9C79AD" w:rsidP="008D55B9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Показатель скорректирован </w:t>
            </w:r>
            <w:r w:rsidRPr="00401EE3">
              <w:rPr>
                <w:sz w:val="18"/>
                <w:szCs w:val="18"/>
              </w:rPr>
              <w:br/>
              <w:t xml:space="preserve">с учетом итогов 2017 года и текущей </w:t>
            </w:r>
            <w:r w:rsidR="008D55B9" w:rsidRPr="00401EE3">
              <w:rPr>
                <w:sz w:val="18"/>
                <w:szCs w:val="18"/>
              </w:rPr>
              <w:t>статистической</w:t>
            </w:r>
            <w:r w:rsidRPr="00401EE3">
              <w:rPr>
                <w:sz w:val="18"/>
                <w:szCs w:val="18"/>
              </w:rPr>
              <w:t xml:space="preserve"> </w:t>
            </w:r>
            <w:r w:rsidRPr="00401EE3">
              <w:rPr>
                <w:sz w:val="18"/>
                <w:szCs w:val="18"/>
              </w:rPr>
              <w:lastRenderedPageBreak/>
              <w:t>отчетности</w:t>
            </w: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lastRenderedPageBreak/>
              <w:t>Средний размер назначенных месячных пенсий пенсионеров, состоящих на учете в системе Пенсионного фонда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17 555,24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17 515,00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Реальный размер назначенных пенсий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100,25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100,06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Численность пенсионеров, состоящих на учете в системе Пенсионного фонда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414,00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410,61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Численность населения с денежными доходами ниже прожиточного минимума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ко всему населению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13,50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b/>
                <w:bCs/>
                <w:sz w:val="18"/>
                <w:szCs w:val="18"/>
              </w:rPr>
            </w:pPr>
            <w:r w:rsidRPr="00401EE3">
              <w:rPr>
                <w:b/>
                <w:bCs/>
                <w:sz w:val="18"/>
                <w:szCs w:val="18"/>
              </w:rPr>
              <w:t>Численность работников и занятость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Численность трудовых ресурсов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631,00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631,00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Численность занятых в экономике (среднегодовая)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504,00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506,00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Уровень безработицы (по методологии МОТ)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6,42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1,49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Численность безработных, рассчитанная по методологии МОТ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36,20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-4,7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9C79AD" w:rsidP="008D55B9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Показатель скорректирован </w:t>
            </w:r>
            <w:r w:rsidRPr="00401EE3">
              <w:rPr>
                <w:sz w:val="18"/>
                <w:szCs w:val="18"/>
              </w:rPr>
              <w:br/>
              <w:t xml:space="preserve">с учетом итогов 2017 года и текущей </w:t>
            </w:r>
            <w:r w:rsidR="008D55B9" w:rsidRPr="00401EE3">
              <w:rPr>
                <w:sz w:val="18"/>
                <w:szCs w:val="18"/>
              </w:rPr>
              <w:t>статистической</w:t>
            </w:r>
            <w:r w:rsidRPr="00401EE3">
              <w:rPr>
                <w:sz w:val="18"/>
                <w:szCs w:val="18"/>
              </w:rPr>
              <w:t xml:space="preserve"> отчетности</w:t>
            </w: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Численность безработных, зарегистрированных в службе занятости (на конец года)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8,30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8,40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Численность безработных, зарегистрированных в службе занятости (на конец года)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98,81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99,29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Среднесписочная численность работников организаций –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тыс. человек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357,37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353,43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-1,1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Фонд начисленной заработной платы всех работников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191 648,64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196 055,93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 xml:space="preserve">Среднемесячная заработная плата одного работника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44 690,22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46 226,96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3,4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Среднемесячная заработная плата одного работника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105,48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105,10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  <w:tr w:rsidR="00EF5FAF" w:rsidRPr="003626D9" w:rsidTr="00EF5FAF">
        <w:tc>
          <w:tcPr>
            <w:tcW w:w="2689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40 152,06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40 076,00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  <w:r w:rsidRPr="00401EE3">
              <w:rPr>
                <w:sz w:val="18"/>
                <w:szCs w:val="18"/>
              </w:rPr>
              <w:t>-0,2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F5FAF" w:rsidRPr="00401EE3" w:rsidRDefault="00EF5FAF" w:rsidP="00EF5FAF">
            <w:pPr>
              <w:jc w:val="center"/>
              <w:rPr>
                <w:sz w:val="18"/>
                <w:szCs w:val="18"/>
              </w:rPr>
            </w:pPr>
          </w:p>
        </w:tc>
      </w:tr>
    </w:tbl>
    <w:p w:rsidR="00C14179" w:rsidRPr="003626D9" w:rsidRDefault="00C14179">
      <w:pPr>
        <w:rPr>
          <w:highlight w:val="yellow"/>
        </w:rPr>
      </w:pPr>
    </w:p>
    <w:p w:rsidR="004304CC" w:rsidRPr="004304CC" w:rsidRDefault="004304CC" w:rsidP="004304CC">
      <w:pPr>
        <w:spacing w:line="276" w:lineRule="auto"/>
        <w:jc w:val="center"/>
      </w:pPr>
      <w:r w:rsidRPr="00401EE3">
        <w:t>_______________</w:t>
      </w:r>
    </w:p>
    <w:sectPr w:rsidR="004304CC" w:rsidRPr="004304CC" w:rsidSect="00C03D84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86" w:rsidRDefault="00CC3586" w:rsidP="00FF79E3">
      <w:r>
        <w:separator/>
      </w:r>
    </w:p>
  </w:endnote>
  <w:endnote w:type="continuationSeparator" w:id="0">
    <w:p w:rsidR="00CC3586" w:rsidRDefault="00CC3586" w:rsidP="00FF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86" w:rsidRDefault="00CC3586" w:rsidP="00FF79E3">
      <w:r>
        <w:separator/>
      </w:r>
    </w:p>
  </w:footnote>
  <w:footnote w:type="continuationSeparator" w:id="0">
    <w:p w:rsidR="00CC3586" w:rsidRDefault="00CC3586" w:rsidP="00FF7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825127"/>
      <w:docPartObj>
        <w:docPartGallery w:val="Page Numbers (Top of Page)"/>
        <w:docPartUnique/>
      </w:docPartObj>
    </w:sdtPr>
    <w:sdtContent>
      <w:p w:rsidR="00CC3586" w:rsidRDefault="000C1D23" w:rsidP="001F0856">
        <w:pPr>
          <w:pStyle w:val="af4"/>
          <w:jc w:val="center"/>
        </w:pPr>
        <w:r>
          <w:fldChar w:fldCharType="begin"/>
        </w:r>
        <w:r w:rsidR="00CC3586">
          <w:instrText>PAGE   \* MERGEFORMAT</w:instrText>
        </w:r>
        <w:r>
          <w:fldChar w:fldCharType="separate"/>
        </w:r>
        <w:r w:rsidR="002704D8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665"/>
    <w:multiLevelType w:val="hybridMultilevel"/>
    <w:tmpl w:val="764824F2"/>
    <w:lvl w:ilvl="0" w:tplc="E03AA602">
      <w:start w:val="1"/>
      <w:numFmt w:val="bullet"/>
      <w:lvlText w:val="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B64882"/>
    <w:multiLevelType w:val="hybridMultilevel"/>
    <w:tmpl w:val="CCDCB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EF14AE"/>
    <w:multiLevelType w:val="hybridMultilevel"/>
    <w:tmpl w:val="356CFD62"/>
    <w:lvl w:ilvl="0" w:tplc="B1A0D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0C4788"/>
    <w:multiLevelType w:val="hybridMultilevel"/>
    <w:tmpl w:val="EC9247DC"/>
    <w:lvl w:ilvl="0" w:tplc="D8EA20D8">
      <w:start w:val="1"/>
      <w:numFmt w:val="bullet"/>
      <w:lvlText w:val=""/>
      <w:lvlJc w:val="left"/>
      <w:pPr>
        <w:ind w:left="1429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2A0A86"/>
    <w:multiLevelType w:val="hybridMultilevel"/>
    <w:tmpl w:val="A9FCD402"/>
    <w:lvl w:ilvl="0" w:tplc="58DA361E">
      <w:numFmt w:val="bullet"/>
      <w:lvlText w:val=""/>
      <w:lvlJc w:val="left"/>
      <w:pPr>
        <w:tabs>
          <w:tab w:val="num" w:pos="3424"/>
        </w:tabs>
        <w:ind w:left="3424" w:hanging="915"/>
      </w:pPr>
      <w:rPr>
        <w:rFonts w:ascii="Wingdings" w:hAnsi="Wingdings" w:cs="Times New Roman" w:hint="default"/>
        <w:sz w:val="18"/>
        <w:szCs w:val="18"/>
      </w:rPr>
    </w:lvl>
    <w:lvl w:ilvl="1" w:tplc="838E47AE">
      <w:numFmt w:val="bullet"/>
      <w:lvlText w:val=""/>
      <w:lvlJc w:val="left"/>
      <w:pPr>
        <w:tabs>
          <w:tab w:val="num" w:pos="1815"/>
        </w:tabs>
        <w:ind w:left="1815" w:hanging="915"/>
      </w:pPr>
      <w:rPr>
        <w:rFonts w:ascii="Wingdings" w:hAnsi="Wingdings" w:cs="Times New Roman" w:hint="default"/>
        <w:b/>
        <w:i w:val="0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B867CFA"/>
    <w:multiLevelType w:val="hybridMultilevel"/>
    <w:tmpl w:val="9D9007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CC05D3"/>
    <w:multiLevelType w:val="hybridMultilevel"/>
    <w:tmpl w:val="FD565F78"/>
    <w:lvl w:ilvl="0" w:tplc="E562826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1F3F63"/>
    <w:multiLevelType w:val="hybridMultilevel"/>
    <w:tmpl w:val="02C6CBDE"/>
    <w:lvl w:ilvl="0" w:tplc="5134C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910ACC"/>
    <w:rsid w:val="000022F9"/>
    <w:rsid w:val="000037D0"/>
    <w:rsid w:val="00007BB7"/>
    <w:rsid w:val="00007C01"/>
    <w:rsid w:val="0001065D"/>
    <w:rsid w:val="0001334B"/>
    <w:rsid w:val="00013E90"/>
    <w:rsid w:val="000158C0"/>
    <w:rsid w:val="00015E7A"/>
    <w:rsid w:val="00017CD6"/>
    <w:rsid w:val="00023866"/>
    <w:rsid w:val="00024F11"/>
    <w:rsid w:val="00036593"/>
    <w:rsid w:val="00043C57"/>
    <w:rsid w:val="00045342"/>
    <w:rsid w:val="000551AB"/>
    <w:rsid w:val="00060BD6"/>
    <w:rsid w:val="00061ACC"/>
    <w:rsid w:val="00063E41"/>
    <w:rsid w:val="00077D2C"/>
    <w:rsid w:val="00077F88"/>
    <w:rsid w:val="0008215C"/>
    <w:rsid w:val="00083D67"/>
    <w:rsid w:val="00085979"/>
    <w:rsid w:val="000938E3"/>
    <w:rsid w:val="00095FFD"/>
    <w:rsid w:val="00096BB9"/>
    <w:rsid w:val="000A016E"/>
    <w:rsid w:val="000A54D7"/>
    <w:rsid w:val="000A65B7"/>
    <w:rsid w:val="000B10F4"/>
    <w:rsid w:val="000B1FBC"/>
    <w:rsid w:val="000C17BC"/>
    <w:rsid w:val="000C1D23"/>
    <w:rsid w:val="000C5BB0"/>
    <w:rsid w:val="000D19A7"/>
    <w:rsid w:val="000D25C3"/>
    <w:rsid w:val="000E4E18"/>
    <w:rsid w:val="000F06FD"/>
    <w:rsid w:val="000F08BC"/>
    <w:rsid w:val="00106F68"/>
    <w:rsid w:val="001105F4"/>
    <w:rsid w:val="0011619E"/>
    <w:rsid w:val="0012414D"/>
    <w:rsid w:val="00124EDE"/>
    <w:rsid w:val="001308B7"/>
    <w:rsid w:val="00133266"/>
    <w:rsid w:val="00135C29"/>
    <w:rsid w:val="00137E17"/>
    <w:rsid w:val="00141125"/>
    <w:rsid w:val="001411C4"/>
    <w:rsid w:val="0014329F"/>
    <w:rsid w:val="00144231"/>
    <w:rsid w:val="00144D66"/>
    <w:rsid w:val="00147B3C"/>
    <w:rsid w:val="00150EE2"/>
    <w:rsid w:val="001542DE"/>
    <w:rsid w:val="00156C41"/>
    <w:rsid w:val="001629FE"/>
    <w:rsid w:val="00162E06"/>
    <w:rsid w:val="001678B8"/>
    <w:rsid w:val="00167906"/>
    <w:rsid w:val="00170566"/>
    <w:rsid w:val="00170BD7"/>
    <w:rsid w:val="00176D5E"/>
    <w:rsid w:val="00181B61"/>
    <w:rsid w:val="00187CEF"/>
    <w:rsid w:val="00192DF1"/>
    <w:rsid w:val="00195F74"/>
    <w:rsid w:val="00196960"/>
    <w:rsid w:val="001A369A"/>
    <w:rsid w:val="001A6153"/>
    <w:rsid w:val="001A76FA"/>
    <w:rsid w:val="001B151C"/>
    <w:rsid w:val="001B29ED"/>
    <w:rsid w:val="001B3113"/>
    <w:rsid w:val="001B63B1"/>
    <w:rsid w:val="001B644F"/>
    <w:rsid w:val="001B75A0"/>
    <w:rsid w:val="001B762D"/>
    <w:rsid w:val="001C3210"/>
    <w:rsid w:val="001D4B34"/>
    <w:rsid w:val="001D5EB7"/>
    <w:rsid w:val="001D721E"/>
    <w:rsid w:val="001E356C"/>
    <w:rsid w:val="001F0856"/>
    <w:rsid w:val="001F249E"/>
    <w:rsid w:val="001F2CA8"/>
    <w:rsid w:val="001F3AE1"/>
    <w:rsid w:val="001F6B67"/>
    <w:rsid w:val="001F6D68"/>
    <w:rsid w:val="001F7070"/>
    <w:rsid w:val="0020073A"/>
    <w:rsid w:val="00203CA9"/>
    <w:rsid w:val="002044BC"/>
    <w:rsid w:val="00210F6A"/>
    <w:rsid w:val="00220057"/>
    <w:rsid w:val="00222E51"/>
    <w:rsid w:val="00224338"/>
    <w:rsid w:val="0023756E"/>
    <w:rsid w:val="002441CE"/>
    <w:rsid w:val="002529DB"/>
    <w:rsid w:val="00252AA1"/>
    <w:rsid w:val="00255D06"/>
    <w:rsid w:val="00255ECB"/>
    <w:rsid w:val="0025787C"/>
    <w:rsid w:val="002604A3"/>
    <w:rsid w:val="00264136"/>
    <w:rsid w:val="002704D8"/>
    <w:rsid w:val="00271760"/>
    <w:rsid w:val="002728F9"/>
    <w:rsid w:val="00281B41"/>
    <w:rsid w:val="00282497"/>
    <w:rsid w:val="00282AB7"/>
    <w:rsid w:val="002831A2"/>
    <w:rsid w:val="00283699"/>
    <w:rsid w:val="002924D5"/>
    <w:rsid w:val="00294574"/>
    <w:rsid w:val="002966F5"/>
    <w:rsid w:val="00296DA5"/>
    <w:rsid w:val="002976C5"/>
    <w:rsid w:val="002A458B"/>
    <w:rsid w:val="002A7AEE"/>
    <w:rsid w:val="002B5E37"/>
    <w:rsid w:val="002B61E0"/>
    <w:rsid w:val="002B6989"/>
    <w:rsid w:val="002C2BF8"/>
    <w:rsid w:val="002D124D"/>
    <w:rsid w:val="002D4B4B"/>
    <w:rsid w:val="002D642D"/>
    <w:rsid w:val="002E0960"/>
    <w:rsid w:val="002F0157"/>
    <w:rsid w:val="002F7F6C"/>
    <w:rsid w:val="00312524"/>
    <w:rsid w:val="00312E18"/>
    <w:rsid w:val="00321EA6"/>
    <w:rsid w:val="00322035"/>
    <w:rsid w:val="003221D3"/>
    <w:rsid w:val="00322566"/>
    <w:rsid w:val="00323213"/>
    <w:rsid w:val="0032405B"/>
    <w:rsid w:val="003244B0"/>
    <w:rsid w:val="00326B3A"/>
    <w:rsid w:val="00341A6D"/>
    <w:rsid w:val="00342465"/>
    <w:rsid w:val="00343386"/>
    <w:rsid w:val="00345341"/>
    <w:rsid w:val="00346CE7"/>
    <w:rsid w:val="00351F2C"/>
    <w:rsid w:val="00353899"/>
    <w:rsid w:val="00357937"/>
    <w:rsid w:val="003626D9"/>
    <w:rsid w:val="00362A41"/>
    <w:rsid w:val="003661A6"/>
    <w:rsid w:val="00371F23"/>
    <w:rsid w:val="00380E44"/>
    <w:rsid w:val="00381EDF"/>
    <w:rsid w:val="003828EF"/>
    <w:rsid w:val="0038568F"/>
    <w:rsid w:val="003879AE"/>
    <w:rsid w:val="00396097"/>
    <w:rsid w:val="00396886"/>
    <w:rsid w:val="003A06D3"/>
    <w:rsid w:val="003A28A1"/>
    <w:rsid w:val="003A6164"/>
    <w:rsid w:val="003A6F6C"/>
    <w:rsid w:val="003C7711"/>
    <w:rsid w:val="003D3A1F"/>
    <w:rsid w:val="003E00AF"/>
    <w:rsid w:val="003E00C9"/>
    <w:rsid w:val="003E3F2C"/>
    <w:rsid w:val="003E4E1F"/>
    <w:rsid w:val="003F6A02"/>
    <w:rsid w:val="003F6AC4"/>
    <w:rsid w:val="00401CB3"/>
    <w:rsid w:val="00401E63"/>
    <w:rsid w:val="00401EE3"/>
    <w:rsid w:val="00404810"/>
    <w:rsid w:val="00404BE4"/>
    <w:rsid w:val="004074B5"/>
    <w:rsid w:val="00410B88"/>
    <w:rsid w:val="0041260D"/>
    <w:rsid w:val="00414ECC"/>
    <w:rsid w:val="004153EC"/>
    <w:rsid w:val="00415FBC"/>
    <w:rsid w:val="004218D0"/>
    <w:rsid w:val="004304CC"/>
    <w:rsid w:val="00430F11"/>
    <w:rsid w:val="004432C6"/>
    <w:rsid w:val="004474A5"/>
    <w:rsid w:val="004511C7"/>
    <w:rsid w:val="00456F38"/>
    <w:rsid w:val="004574FB"/>
    <w:rsid w:val="004578AA"/>
    <w:rsid w:val="00461143"/>
    <w:rsid w:val="00464AE0"/>
    <w:rsid w:val="00465193"/>
    <w:rsid w:val="0046759B"/>
    <w:rsid w:val="004676D7"/>
    <w:rsid w:val="00470B7F"/>
    <w:rsid w:val="004714DD"/>
    <w:rsid w:val="00472D58"/>
    <w:rsid w:val="00477B2F"/>
    <w:rsid w:val="00481DDA"/>
    <w:rsid w:val="0048336E"/>
    <w:rsid w:val="00484F3D"/>
    <w:rsid w:val="00485FDC"/>
    <w:rsid w:val="00493A70"/>
    <w:rsid w:val="004B12C9"/>
    <w:rsid w:val="004B2D97"/>
    <w:rsid w:val="004B4C01"/>
    <w:rsid w:val="004C3BFC"/>
    <w:rsid w:val="004D03E6"/>
    <w:rsid w:val="004D1EF8"/>
    <w:rsid w:val="004D367B"/>
    <w:rsid w:val="004D4129"/>
    <w:rsid w:val="004D4221"/>
    <w:rsid w:val="004D5BF5"/>
    <w:rsid w:val="004E0339"/>
    <w:rsid w:val="004E0759"/>
    <w:rsid w:val="004E427E"/>
    <w:rsid w:val="004E584B"/>
    <w:rsid w:val="004E5AC2"/>
    <w:rsid w:val="004F1D18"/>
    <w:rsid w:val="004F5689"/>
    <w:rsid w:val="004F7061"/>
    <w:rsid w:val="005024EF"/>
    <w:rsid w:val="0050492F"/>
    <w:rsid w:val="00507B39"/>
    <w:rsid w:val="005168F1"/>
    <w:rsid w:val="00520291"/>
    <w:rsid w:val="005346BA"/>
    <w:rsid w:val="00536A36"/>
    <w:rsid w:val="005442B3"/>
    <w:rsid w:val="00544A36"/>
    <w:rsid w:val="00546E8F"/>
    <w:rsid w:val="00563542"/>
    <w:rsid w:val="00567923"/>
    <w:rsid w:val="0057022C"/>
    <w:rsid w:val="005704A6"/>
    <w:rsid w:val="00576291"/>
    <w:rsid w:val="005763EF"/>
    <w:rsid w:val="00585E2B"/>
    <w:rsid w:val="005871C3"/>
    <w:rsid w:val="005874DD"/>
    <w:rsid w:val="00587F44"/>
    <w:rsid w:val="00591376"/>
    <w:rsid w:val="0059244C"/>
    <w:rsid w:val="00594EB0"/>
    <w:rsid w:val="005A0164"/>
    <w:rsid w:val="005A17C9"/>
    <w:rsid w:val="005A6AE7"/>
    <w:rsid w:val="005A70E4"/>
    <w:rsid w:val="005A7970"/>
    <w:rsid w:val="005B2AB2"/>
    <w:rsid w:val="005B2BF0"/>
    <w:rsid w:val="005B41A7"/>
    <w:rsid w:val="005B4747"/>
    <w:rsid w:val="005B50C7"/>
    <w:rsid w:val="005C21DB"/>
    <w:rsid w:val="005C27EF"/>
    <w:rsid w:val="005C6BD4"/>
    <w:rsid w:val="005D3577"/>
    <w:rsid w:val="005D58EE"/>
    <w:rsid w:val="005E1189"/>
    <w:rsid w:val="005E2660"/>
    <w:rsid w:val="005E374B"/>
    <w:rsid w:val="005E6EF8"/>
    <w:rsid w:val="005F0200"/>
    <w:rsid w:val="006037CB"/>
    <w:rsid w:val="00604677"/>
    <w:rsid w:val="006079B6"/>
    <w:rsid w:val="00607E08"/>
    <w:rsid w:val="006126CC"/>
    <w:rsid w:val="00616171"/>
    <w:rsid w:val="006164BA"/>
    <w:rsid w:val="00625554"/>
    <w:rsid w:val="00630BC3"/>
    <w:rsid w:val="006429DB"/>
    <w:rsid w:val="00645B17"/>
    <w:rsid w:val="006530BC"/>
    <w:rsid w:val="006534FD"/>
    <w:rsid w:val="00655918"/>
    <w:rsid w:val="006628FD"/>
    <w:rsid w:val="0067340B"/>
    <w:rsid w:val="006805BD"/>
    <w:rsid w:val="00680ACB"/>
    <w:rsid w:val="0068475A"/>
    <w:rsid w:val="006853ED"/>
    <w:rsid w:val="00696686"/>
    <w:rsid w:val="00696F54"/>
    <w:rsid w:val="00697601"/>
    <w:rsid w:val="00697EBD"/>
    <w:rsid w:val="006A1F53"/>
    <w:rsid w:val="006A574F"/>
    <w:rsid w:val="006A583F"/>
    <w:rsid w:val="006A6058"/>
    <w:rsid w:val="006B1975"/>
    <w:rsid w:val="006B2895"/>
    <w:rsid w:val="006B3411"/>
    <w:rsid w:val="006B4C29"/>
    <w:rsid w:val="006B5EA6"/>
    <w:rsid w:val="006C7707"/>
    <w:rsid w:val="006C7BF4"/>
    <w:rsid w:val="006D0132"/>
    <w:rsid w:val="006D376B"/>
    <w:rsid w:val="006D45DE"/>
    <w:rsid w:val="006D503C"/>
    <w:rsid w:val="006D570E"/>
    <w:rsid w:val="006D70D3"/>
    <w:rsid w:val="006E184B"/>
    <w:rsid w:val="006E3160"/>
    <w:rsid w:val="006E7624"/>
    <w:rsid w:val="006F0154"/>
    <w:rsid w:val="006F2DCB"/>
    <w:rsid w:val="006F7339"/>
    <w:rsid w:val="0070730B"/>
    <w:rsid w:val="007130FD"/>
    <w:rsid w:val="00713615"/>
    <w:rsid w:val="00713BB8"/>
    <w:rsid w:val="00715D99"/>
    <w:rsid w:val="007166AF"/>
    <w:rsid w:val="00717180"/>
    <w:rsid w:val="00723E4F"/>
    <w:rsid w:val="00727004"/>
    <w:rsid w:val="00730A52"/>
    <w:rsid w:val="007321CF"/>
    <w:rsid w:val="007363E0"/>
    <w:rsid w:val="00736CD9"/>
    <w:rsid w:val="00737213"/>
    <w:rsid w:val="007437A9"/>
    <w:rsid w:val="0074717C"/>
    <w:rsid w:val="00751351"/>
    <w:rsid w:val="007532CF"/>
    <w:rsid w:val="007532E4"/>
    <w:rsid w:val="00753D9A"/>
    <w:rsid w:val="007554A5"/>
    <w:rsid w:val="007569CF"/>
    <w:rsid w:val="00757027"/>
    <w:rsid w:val="00762920"/>
    <w:rsid w:val="00762D1D"/>
    <w:rsid w:val="00764505"/>
    <w:rsid w:val="00764A92"/>
    <w:rsid w:val="00764BCA"/>
    <w:rsid w:val="00766E48"/>
    <w:rsid w:val="007720C4"/>
    <w:rsid w:val="00772F14"/>
    <w:rsid w:val="00777E00"/>
    <w:rsid w:val="00783340"/>
    <w:rsid w:val="007871F5"/>
    <w:rsid w:val="00790A40"/>
    <w:rsid w:val="00792B13"/>
    <w:rsid w:val="007A241E"/>
    <w:rsid w:val="007A3766"/>
    <w:rsid w:val="007A3940"/>
    <w:rsid w:val="007B2AEB"/>
    <w:rsid w:val="007B43EC"/>
    <w:rsid w:val="007B604B"/>
    <w:rsid w:val="007B693E"/>
    <w:rsid w:val="007E273D"/>
    <w:rsid w:val="007E59BF"/>
    <w:rsid w:val="007E70CA"/>
    <w:rsid w:val="007F00BB"/>
    <w:rsid w:val="007F1F7B"/>
    <w:rsid w:val="007F5FC4"/>
    <w:rsid w:val="008013B9"/>
    <w:rsid w:val="008028AE"/>
    <w:rsid w:val="00802D7C"/>
    <w:rsid w:val="00803B50"/>
    <w:rsid w:val="00804C4E"/>
    <w:rsid w:val="00806763"/>
    <w:rsid w:val="00814CAB"/>
    <w:rsid w:val="00815779"/>
    <w:rsid w:val="00820777"/>
    <w:rsid w:val="00820844"/>
    <w:rsid w:val="00827004"/>
    <w:rsid w:val="00840381"/>
    <w:rsid w:val="0084555A"/>
    <w:rsid w:val="008476C6"/>
    <w:rsid w:val="0085406F"/>
    <w:rsid w:val="008548E1"/>
    <w:rsid w:val="00854A13"/>
    <w:rsid w:val="00861FF7"/>
    <w:rsid w:val="0086259B"/>
    <w:rsid w:val="00865DC9"/>
    <w:rsid w:val="0086749F"/>
    <w:rsid w:val="00867C35"/>
    <w:rsid w:val="00872919"/>
    <w:rsid w:val="0087400E"/>
    <w:rsid w:val="00874745"/>
    <w:rsid w:val="00874E4E"/>
    <w:rsid w:val="00881433"/>
    <w:rsid w:val="008822E8"/>
    <w:rsid w:val="00883ABB"/>
    <w:rsid w:val="0088516F"/>
    <w:rsid w:val="00885CDA"/>
    <w:rsid w:val="00890781"/>
    <w:rsid w:val="00891A09"/>
    <w:rsid w:val="00894363"/>
    <w:rsid w:val="00896015"/>
    <w:rsid w:val="008A1FEC"/>
    <w:rsid w:val="008A3403"/>
    <w:rsid w:val="008B1042"/>
    <w:rsid w:val="008B128E"/>
    <w:rsid w:val="008B44DF"/>
    <w:rsid w:val="008B78BF"/>
    <w:rsid w:val="008C0622"/>
    <w:rsid w:val="008C0FF0"/>
    <w:rsid w:val="008C3851"/>
    <w:rsid w:val="008D25AE"/>
    <w:rsid w:val="008D4B1E"/>
    <w:rsid w:val="008D55B9"/>
    <w:rsid w:val="008D5BC0"/>
    <w:rsid w:val="008D6BAA"/>
    <w:rsid w:val="008D76F2"/>
    <w:rsid w:val="008E5A8E"/>
    <w:rsid w:val="008F65A3"/>
    <w:rsid w:val="008F7E10"/>
    <w:rsid w:val="009015D6"/>
    <w:rsid w:val="0090319B"/>
    <w:rsid w:val="0090706B"/>
    <w:rsid w:val="00910ACC"/>
    <w:rsid w:val="0091462C"/>
    <w:rsid w:val="00916C51"/>
    <w:rsid w:val="009303B5"/>
    <w:rsid w:val="00934C9B"/>
    <w:rsid w:val="00941D35"/>
    <w:rsid w:val="00943D86"/>
    <w:rsid w:val="00944B98"/>
    <w:rsid w:val="00945753"/>
    <w:rsid w:val="00950A17"/>
    <w:rsid w:val="00956A61"/>
    <w:rsid w:val="00957ACD"/>
    <w:rsid w:val="009610F2"/>
    <w:rsid w:val="0096196F"/>
    <w:rsid w:val="00962557"/>
    <w:rsid w:val="00962593"/>
    <w:rsid w:val="009674EE"/>
    <w:rsid w:val="00970E64"/>
    <w:rsid w:val="00973DBC"/>
    <w:rsid w:val="00984B1E"/>
    <w:rsid w:val="00986BF0"/>
    <w:rsid w:val="009909A8"/>
    <w:rsid w:val="00992EA4"/>
    <w:rsid w:val="009940E6"/>
    <w:rsid w:val="009968DC"/>
    <w:rsid w:val="009A380F"/>
    <w:rsid w:val="009A5C5F"/>
    <w:rsid w:val="009B295F"/>
    <w:rsid w:val="009B4066"/>
    <w:rsid w:val="009B6BDE"/>
    <w:rsid w:val="009C2B9D"/>
    <w:rsid w:val="009C435C"/>
    <w:rsid w:val="009C79AD"/>
    <w:rsid w:val="009D0760"/>
    <w:rsid w:val="009D3ECD"/>
    <w:rsid w:val="009D42CF"/>
    <w:rsid w:val="009D6B20"/>
    <w:rsid w:val="009E3E0D"/>
    <w:rsid w:val="009E4319"/>
    <w:rsid w:val="009E6590"/>
    <w:rsid w:val="009F0BDC"/>
    <w:rsid w:val="009F5378"/>
    <w:rsid w:val="009F5D00"/>
    <w:rsid w:val="00A072DE"/>
    <w:rsid w:val="00A1439A"/>
    <w:rsid w:val="00A22D1D"/>
    <w:rsid w:val="00A264F9"/>
    <w:rsid w:val="00A271EC"/>
    <w:rsid w:val="00A30347"/>
    <w:rsid w:val="00A3561B"/>
    <w:rsid w:val="00A35F05"/>
    <w:rsid w:val="00A4044F"/>
    <w:rsid w:val="00A411DD"/>
    <w:rsid w:val="00A4546D"/>
    <w:rsid w:val="00A4548D"/>
    <w:rsid w:val="00A51DB0"/>
    <w:rsid w:val="00A53E6E"/>
    <w:rsid w:val="00A549DB"/>
    <w:rsid w:val="00A61D88"/>
    <w:rsid w:val="00A71139"/>
    <w:rsid w:val="00A73409"/>
    <w:rsid w:val="00A73713"/>
    <w:rsid w:val="00A81E77"/>
    <w:rsid w:val="00A82230"/>
    <w:rsid w:val="00A8370C"/>
    <w:rsid w:val="00A87190"/>
    <w:rsid w:val="00A878A5"/>
    <w:rsid w:val="00AA57EB"/>
    <w:rsid w:val="00AA679B"/>
    <w:rsid w:val="00AB20F1"/>
    <w:rsid w:val="00AC0CAD"/>
    <w:rsid w:val="00AC52CD"/>
    <w:rsid w:val="00AD02D5"/>
    <w:rsid w:val="00AD2579"/>
    <w:rsid w:val="00AE015C"/>
    <w:rsid w:val="00AE10DD"/>
    <w:rsid w:val="00AE1936"/>
    <w:rsid w:val="00AE1C7C"/>
    <w:rsid w:val="00AE5E67"/>
    <w:rsid w:val="00AE66FD"/>
    <w:rsid w:val="00AF0E73"/>
    <w:rsid w:val="00B066D4"/>
    <w:rsid w:val="00B10BB9"/>
    <w:rsid w:val="00B1188F"/>
    <w:rsid w:val="00B1309B"/>
    <w:rsid w:val="00B14FB7"/>
    <w:rsid w:val="00B20A0A"/>
    <w:rsid w:val="00B35838"/>
    <w:rsid w:val="00B35BF7"/>
    <w:rsid w:val="00B37593"/>
    <w:rsid w:val="00B41655"/>
    <w:rsid w:val="00B4307F"/>
    <w:rsid w:val="00B445F6"/>
    <w:rsid w:val="00B46897"/>
    <w:rsid w:val="00B46AD2"/>
    <w:rsid w:val="00B50198"/>
    <w:rsid w:val="00B50854"/>
    <w:rsid w:val="00B509C9"/>
    <w:rsid w:val="00B5442D"/>
    <w:rsid w:val="00B64FA3"/>
    <w:rsid w:val="00B773BC"/>
    <w:rsid w:val="00B84245"/>
    <w:rsid w:val="00B913F9"/>
    <w:rsid w:val="00B917BE"/>
    <w:rsid w:val="00B91ACD"/>
    <w:rsid w:val="00B92AFE"/>
    <w:rsid w:val="00B93BF6"/>
    <w:rsid w:val="00B9590B"/>
    <w:rsid w:val="00BA0A87"/>
    <w:rsid w:val="00BA1BC6"/>
    <w:rsid w:val="00BA5F79"/>
    <w:rsid w:val="00BA7F35"/>
    <w:rsid w:val="00BA7F3C"/>
    <w:rsid w:val="00BB775A"/>
    <w:rsid w:val="00BC3ED7"/>
    <w:rsid w:val="00BD335B"/>
    <w:rsid w:val="00BE0031"/>
    <w:rsid w:val="00BE1238"/>
    <w:rsid w:val="00BE2BEC"/>
    <w:rsid w:val="00BE47C9"/>
    <w:rsid w:val="00BE4E52"/>
    <w:rsid w:val="00BE59D4"/>
    <w:rsid w:val="00BF15AC"/>
    <w:rsid w:val="00BF63E5"/>
    <w:rsid w:val="00C03D84"/>
    <w:rsid w:val="00C07A54"/>
    <w:rsid w:val="00C11779"/>
    <w:rsid w:val="00C14179"/>
    <w:rsid w:val="00C1510A"/>
    <w:rsid w:val="00C20033"/>
    <w:rsid w:val="00C21AB5"/>
    <w:rsid w:val="00C21C08"/>
    <w:rsid w:val="00C22BE5"/>
    <w:rsid w:val="00C30F1B"/>
    <w:rsid w:val="00C330DF"/>
    <w:rsid w:val="00C353FE"/>
    <w:rsid w:val="00C35D0C"/>
    <w:rsid w:val="00C35DB8"/>
    <w:rsid w:val="00C4168A"/>
    <w:rsid w:val="00C44DE7"/>
    <w:rsid w:val="00C50961"/>
    <w:rsid w:val="00C51C48"/>
    <w:rsid w:val="00C52D61"/>
    <w:rsid w:val="00C53B7B"/>
    <w:rsid w:val="00C558EC"/>
    <w:rsid w:val="00C57E06"/>
    <w:rsid w:val="00C61A1B"/>
    <w:rsid w:val="00C66CFB"/>
    <w:rsid w:val="00C73CD3"/>
    <w:rsid w:val="00C844C7"/>
    <w:rsid w:val="00C949F8"/>
    <w:rsid w:val="00CA08B0"/>
    <w:rsid w:val="00CA0F6E"/>
    <w:rsid w:val="00CA4CC3"/>
    <w:rsid w:val="00CA5F49"/>
    <w:rsid w:val="00CB26F5"/>
    <w:rsid w:val="00CB70E3"/>
    <w:rsid w:val="00CB7BC6"/>
    <w:rsid w:val="00CC2E80"/>
    <w:rsid w:val="00CC320E"/>
    <w:rsid w:val="00CC3586"/>
    <w:rsid w:val="00CC4DF4"/>
    <w:rsid w:val="00CC6D23"/>
    <w:rsid w:val="00CD2BDB"/>
    <w:rsid w:val="00CE753B"/>
    <w:rsid w:val="00CF1459"/>
    <w:rsid w:val="00CF4B50"/>
    <w:rsid w:val="00D019AA"/>
    <w:rsid w:val="00D03EE7"/>
    <w:rsid w:val="00D073A2"/>
    <w:rsid w:val="00D07443"/>
    <w:rsid w:val="00D20828"/>
    <w:rsid w:val="00D21DB1"/>
    <w:rsid w:val="00D253AA"/>
    <w:rsid w:val="00D25F47"/>
    <w:rsid w:val="00D26B42"/>
    <w:rsid w:val="00D3197C"/>
    <w:rsid w:val="00D31E80"/>
    <w:rsid w:val="00D32168"/>
    <w:rsid w:val="00D32194"/>
    <w:rsid w:val="00D41610"/>
    <w:rsid w:val="00D569B6"/>
    <w:rsid w:val="00D60372"/>
    <w:rsid w:val="00D6373B"/>
    <w:rsid w:val="00D755E1"/>
    <w:rsid w:val="00D81D30"/>
    <w:rsid w:val="00D82967"/>
    <w:rsid w:val="00D82D7D"/>
    <w:rsid w:val="00D83E29"/>
    <w:rsid w:val="00D868AC"/>
    <w:rsid w:val="00D934CF"/>
    <w:rsid w:val="00D94221"/>
    <w:rsid w:val="00DA5B89"/>
    <w:rsid w:val="00DA731B"/>
    <w:rsid w:val="00DA7D61"/>
    <w:rsid w:val="00DC30F0"/>
    <w:rsid w:val="00DC30FE"/>
    <w:rsid w:val="00DC3B03"/>
    <w:rsid w:val="00DC7A84"/>
    <w:rsid w:val="00DD1031"/>
    <w:rsid w:val="00DD2431"/>
    <w:rsid w:val="00DD2B6B"/>
    <w:rsid w:val="00DD7607"/>
    <w:rsid w:val="00DE00B6"/>
    <w:rsid w:val="00DE09F5"/>
    <w:rsid w:val="00DE3C1E"/>
    <w:rsid w:val="00DF1CAA"/>
    <w:rsid w:val="00DF3D93"/>
    <w:rsid w:val="00DF6D01"/>
    <w:rsid w:val="00DF6E91"/>
    <w:rsid w:val="00E02647"/>
    <w:rsid w:val="00E05F15"/>
    <w:rsid w:val="00E06BA3"/>
    <w:rsid w:val="00E11115"/>
    <w:rsid w:val="00E11BCF"/>
    <w:rsid w:val="00E171AF"/>
    <w:rsid w:val="00E20A26"/>
    <w:rsid w:val="00E226F0"/>
    <w:rsid w:val="00E23BCC"/>
    <w:rsid w:val="00E2730F"/>
    <w:rsid w:val="00E3505C"/>
    <w:rsid w:val="00E4133D"/>
    <w:rsid w:val="00E434BA"/>
    <w:rsid w:val="00E46F77"/>
    <w:rsid w:val="00E577F9"/>
    <w:rsid w:val="00E62FCE"/>
    <w:rsid w:val="00E65E2A"/>
    <w:rsid w:val="00E701E9"/>
    <w:rsid w:val="00E750E3"/>
    <w:rsid w:val="00E75C47"/>
    <w:rsid w:val="00E7614A"/>
    <w:rsid w:val="00E76F71"/>
    <w:rsid w:val="00E81DE1"/>
    <w:rsid w:val="00E82B97"/>
    <w:rsid w:val="00E831C7"/>
    <w:rsid w:val="00E84F6F"/>
    <w:rsid w:val="00E870D8"/>
    <w:rsid w:val="00E92DBB"/>
    <w:rsid w:val="00E939FD"/>
    <w:rsid w:val="00E93C6F"/>
    <w:rsid w:val="00E94A3F"/>
    <w:rsid w:val="00E95EFD"/>
    <w:rsid w:val="00E960D7"/>
    <w:rsid w:val="00EB23AE"/>
    <w:rsid w:val="00EB5C59"/>
    <w:rsid w:val="00EE05C5"/>
    <w:rsid w:val="00EE3C36"/>
    <w:rsid w:val="00EE4308"/>
    <w:rsid w:val="00EE587F"/>
    <w:rsid w:val="00EF0CF8"/>
    <w:rsid w:val="00EF2328"/>
    <w:rsid w:val="00EF5FAF"/>
    <w:rsid w:val="00F0138E"/>
    <w:rsid w:val="00F04151"/>
    <w:rsid w:val="00F05089"/>
    <w:rsid w:val="00F05343"/>
    <w:rsid w:val="00F110B7"/>
    <w:rsid w:val="00F1117C"/>
    <w:rsid w:val="00F136D9"/>
    <w:rsid w:val="00F1709E"/>
    <w:rsid w:val="00F21468"/>
    <w:rsid w:val="00F22113"/>
    <w:rsid w:val="00F24514"/>
    <w:rsid w:val="00F255AE"/>
    <w:rsid w:val="00F339C5"/>
    <w:rsid w:val="00F41303"/>
    <w:rsid w:val="00F41304"/>
    <w:rsid w:val="00F4210E"/>
    <w:rsid w:val="00F442C8"/>
    <w:rsid w:val="00F4644D"/>
    <w:rsid w:val="00F55115"/>
    <w:rsid w:val="00F60CEA"/>
    <w:rsid w:val="00F65B7B"/>
    <w:rsid w:val="00F66A6F"/>
    <w:rsid w:val="00F7197F"/>
    <w:rsid w:val="00F71F0A"/>
    <w:rsid w:val="00F726C4"/>
    <w:rsid w:val="00F916C2"/>
    <w:rsid w:val="00F93D4A"/>
    <w:rsid w:val="00FA4C98"/>
    <w:rsid w:val="00FA6F1D"/>
    <w:rsid w:val="00FB37A4"/>
    <w:rsid w:val="00FB4D41"/>
    <w:rsid w:val="00FB50AB"/>
    <w:rsid w:val="00FC50DD"/>
    <w:rsid w:val="00FC6996"/>
    <w:rsid w:val="00FC6E27"/>
    <w:rsid w:val="00FC6EB4"/>
    <w:rsid w:val="00FC7B3C"/>
    <w:rsid w:val="00FD103C"/>
    <w:rsid w:val="00FD1DE2"/>
    <w:rsid w:val="00FD38BB"/>
    <w:rsid w:val="00FD427C"/>
    <w:rsid w:val="00FD75FF"/>
    <w:rsid w:val="00FE49FB"/>
    <w:rsid w:val="00FF0F97"/>
    <w:rsid w:val="00FF2387"/>
    <w:rsid w:val="00F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139"/>
    <w:pPr>
      <w:keepNext/>
      <w:keepLines/>
      <w:spacing w:before="240" w:after="60" w:line="288" w:lineRule="auto"/>
      <w:ind w:firstLine="709"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1376"/>
    <w:pPr>
      <w:keepNext/>
      <w:keepLines/>
      <w:spacing w:before="60" w:after="60"/>
      <w:ind w:firstLine="709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1139"/>
    <w:pPr>
      <w:keepNext/>
      <w:keepLines/>
      <w:spacing w:before="120" w:after="20"/>
      <w:ind w:firstLine="709"/>
      <w:outlineLvl w:val="2"/>
    </w:pPr>
    <w:rPr>
      <w:rFonts w:eastAsiaTheme="majorEastAsia" w:cstheme="majorBidi"/>
      <w:b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0A54D7"/>
    <w:pPr>
      <w:keepNext/>
      <w:keepLines/>
      <w:spacing w:before="120" w:after="60"/>
      <w:ind w:firstLine="709"/>
      <w:outlineLvl w:val="3"/>
    </w:pPr>
    <w:rPr>
      <w:rFonts w:eastAsiaTheme="majorEastAsia" w:cstheme="majorBidi"/>
      <w:b/>
      <w:bCs/>
      <w:i/>
      <w:iCs/>
    </w:rPr>
  </w:style>
  <w:style w:type="paragraph" w:styleId="9">
    <w:name w:val="heading 9"/>
    <w:basedOn w:val="a"/>
    <w:next w:val="a"/>
    <w:link w:val="90"/>
    <w:qFormat/>
    <w:rsid w:val="005D58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10ACC"/>
    <w:pPr>
      <w:ind w:firstLine="360"/>
    </w:pPr>
  </w:style>
  <w:style w:type="character" w:customStyle="1" w:styleId="a4">
    <w:name w:val="Основной текст с отступом Знак"/>
    <w:basedOn w:val="a0"/>
    <w:link w:val="a3"/>
    <w:rsid w:val="0091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A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139"/>
    <w:rPr>
      <w:rFonts w:ascii="Times New Roman" w:eastAsiaTheme="majorEastAsia" w:hAnsi="Times New Roman" w:cstheme="majorBidi"/>
      <w:b/>
      <w:bCs/>
      <w:color w:val="000000" w:themeColor="text1"/>
      <w:sz w:val="26"/>
      <w:szCs w:val="28"/>
      <w:lang w:eastAsia="ru-RU"/>
    </w:rPr>
  </w:style>
  <w:style w:type="paragraph" w:customStyle="1" w:styleId="a5">
    <w:name w:val="Текст (лев)"/>
    <w:link w:val="a6"/>
    <w:rsid w:val="00820844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820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(лев) Знак"/>
    <w:basedOn w:val="a0"/>
    <w:link w:val="a5"/>
    <w:rsid w:val="0082084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rmal (Web)"/>
    <w:basedOn w:val="a"/>
    <w:rsid w:val="00C353FE"/>
    <w:pPr>
      <w:spacing w:before="100" w:beforeAutospacing="1" w:after="100" w:afterAutospacing="1"/>
      <w:ind w:firstLine="12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917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7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5D58E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D5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5D58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D58E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5D58EE"/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376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139"/>
    <w:rPr>
      <w:rFonts w:ascii="Times New Roman" w:eastAsiaTheme="majorEastAsia" w:hAnsi="Times New Roman" w:cstheme="majorBidi"/>
      <w:b/>
      <w:bCs/>
      <w:i/>
      <w:sz w:val="24"/>
      <w:szCs w:val="24"/>
      <w:lang w:eastAsia="ru-RU"/>
    </w:rPr>
  </w:style>
  <w:style w:type="table" w:styleId="ac">
    <w:name w:val="Table Grid"/>
    <w:basedOn w:val="a1"/>
    <w:uiPriority w:val="59"/>
    <w:rsid w:val="008C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 табл"/>
    <w:rsid w:val="00FF79E3"/>
    <w:rPr>
      <w:rFonts w:ascii="Arial" w:hAnsi="Arial"/>
      <w:noProof w:val="0"/>
      <w:sz w:val="16"/>
      <w:lang w:val="ru-RU"/>
    </w:rPr>
  </w:style>
  <w:style w:type="paragraph" w:styleId="ae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f"/>
    <w:unhideWhenUsed/>
    <w:rsid w:val="00FF79E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0"/>
    <w:link w:val="ae"/>
    <w:rsid w:val="00FF79E3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semiHidden/>
    <w:unhideWhenUsed/>
    <w:rsid w:val="00FF79E3"/>
    <w:rPr>
      <w:vertAlign w:val="superscript"/>
    </w:rPr>
  </w:style>
  <w:style w:type="paragraph" w:customStyle="1" w:styleId="23">
    <w:name w:val="сновной текст с отступом 2"/>
    <w:basedOn w:val="a"/>
    <w:rsid w:val="00FF79E3"/>
    <w:pPr>
      <w:widowControl w:val="0"/>
      <w:ind w:firstLine="720"/>
      <w:jc w:val="both"/>
    </w:pPr>
    <w:rPr>
      <w:sz w:val="26"/>
      <w:szCs w:val="20"/>
    </w:rPr>
  </w:style>
  <w:style w:type="paragraph" w:customStyle="1" w:styleId="xl74">
    <w:name w:val="xl74"/>
    <w:basedOn w:val="a"/>
    <w:rsid w:val="00FF79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 CYR" w:eastAsia="Arial Unicode MS" w:hAnsi="Times New Roman CYR" w:cs="GaramondC"/>
      <w:sz w:val="18"/>
      <w:szCs w:val="18"/>
    </w:rPr>
  </w:style>
  <w:style w:type="paragraph" w:styleId="af1">
    <w:name w:val="List Paragraph"/>
    <w:basedOn w:val="a"/>
    <w:uiPriority w:val="34"/>
    <w:qFormat/>
    <w:rsid w:val="00FF79E3"/>
    <w:pPr>
      <w:ind w:left="720"/>
      <w:contextualSpacing/>
    </w:pPr>
  </w:style>
  <w:style w:type="paragraph" w:styleId="af2">
    <w:name w:val="Document Map"/>
    <w:basedOn w:val="a"/>
    <w:link w:val="af3"/>
    <w:uiPriority w:val="99"/>
    <w:semiHidden/>
    <w:unhideWhenUsed/>
    <w:rsid w:val="00EF2328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EF2328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F232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F2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54D7"/>
    <w:rPr>
      <w:rFonts w:ascii="Times New Roman" w:eastAsiaTheme="majorEastAsia" w:hAnsi="Times New Roman" w:cstheme="majorBidi"/>
      <w:b/>
      <w:bCs/>
      <w:i/>
      <w:iCs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0A54D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A54D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"/>
    <w:rsid w:val="00715D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endnote text"/>
    <w:basedOn w:val="a"/>
    <w:link w:val="afa"/>
    <w:uiPriority w:val="99"/>
    <w:semiHidden/>
    <w:unhideWhenUsed/>
    <w:rsid w:val="00043C5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43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043C57"/>
    <w:rPr>
      <w:vertAlign w:val="superscript"/>
    </w:rPr>
  </w:style>
  <w:style w:type="paragraph" w:customStyle="1" w:styleId="11">
    <w:name w:val="Знак1"/>
    <w:basedOn w:val="a"/>
    <w:rsid w:val="00970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unhideWhenUsed/>
    <w:rsid w:val="00F66A6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A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6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link w:val="ListParagraphChar"/>
    <w:rsid w:val="00294574"/>
    <w:pPr>
      <w:keepNext/>
      <w:spacing w:before="100" w:beforeAutospacing="1" w:after="100" w:afterAutospacing="1"/>
    </w:pPr>
  </w:style>
  <w:style w:type="character" w:customStyle="1" w:styleId="ListParagraphChar">
    <w:name w:val="List Paragraph Char"/>
    <w:link w:val="12"/>
    <w:locked/>
    <w:rsid w:val="00294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94574"/>
    <w:rPr>
      <w:rFonts w:ascii="Times New Roman" w:hAnsi="Times New Roman" w:cs="Times New Roman"/>
      <w:sz w:val="26"/>
      <w:szCs w:val="26"/>
    </w:rPr>
  </w:style>
  <w:style w:type="character" w:styleId="afc">
    <w:name w:val="Hyperlink"/>
    <w:basedOn w:val="a0"/>
    <w:uiPriority w:val="99"/>
    <w:semiHidden/>
    <w:unhideWhenUsed/>
    <w:rsid w:val="00EF5FAF"/>
    <w:rPr>
      <w:color w:val="0563C1"/>
      <w:u w:val="single"/>
    </w:rPr>
  </w:style>
  <w:style w:type="character" w:styleId="afd">
    <w:name w:val="FollowedHyperlink"/>
    <w:basedOn w:val="a0"/>
    <w:uiPriority w:val="99"/>
    <w:semiHidden/>
    <w:unhideWhenUsed/>
    <w:rsid w:val="00EF5FAF"/>
    <w:rPr>
      <w:color w:val="954F72"/>
      <w:u w:val="single"/>
    </w:rPr>
  </w:style>
  <w:style w:type="paragraph" w:customStyle="1" w:styleId="font5">
    <w:name w:val="font5"/>
    <w:basedOn w:val="a"/>
    <w:rsid w:val="00EF5FAF"/>
    <w:pPr>
      <w:spacing w:before="100" w:beforeAutospacing="1" w:after="100" w:afterAutospacing="1"/>
    </w:pPr>
  </w:style>
  <w:style w:type="paragraph" w:customStyle="1" w:styleId="xl63">
    <w:name w:val="xl63"/>
    <w:basedOn w:val="a"/>
    <w:rsid w:val="00EF5FA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F5FAF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F5FAF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F5FAF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5"/>
      <w:szCs w:val="15"/>
    </w:rPr>
  </w:style>
  <w:style w:type="paragraph" w:customStyle="1" w:styleId="xl72">
    <w:name w:val="xl72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EF5FA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79">
    <w:name w:val="xl79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0">
    <w:name w:val="xl80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81">
    <w:name w:val="xl81"/>
    <w:basedOn w:val="a"/>
    <w:rsid w:val="00EF5FA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82">
    <w:name w:val="xl82"/>
    <w:basedOn w:val="a"/>
    <w:rsid w:val="00EF5FAF"/>
    <w:pP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83">
    <w:name w:val="xl83"/>
    <w:basedOn w:val="a"/>
    <w:rsid w:val="00EF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EF5FA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EF5FAF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EF5FAF"/>
    <w:pP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F5F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EF5FA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EF5FAF"/>
    <w:pPr>
      <w:spacing w:before="100" w:beforeAutospacing="1" w:after="100" w:afterAutospacing="1"/>
      <w:textAlignment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37AF-B77C-4436-AAD5-27F7F8E4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12847</Words>
  <Characters>73232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med_arh</Company>
  <LinksUpToDate>false</LinksUpToDate>
  <CharactersWithSpaces>85908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Валентина Александровна</dc:creator>
  <cp:lastModifiedBy>minfin user</cp:lastModifiedBy>
  <cp:revision>3</cp:revision>
  <cp:lastPrinted>2018-09-24T15:30:00Z</cp:lastPrinted>
  <dcterms:created xsi:type="dcterms:W3CDTF">2018-10-13T09:05:00Z</dcterms:created>
  <dcterms:modified xsi:type="dcterms:W3CDTF">2018-10-13T09:07:00Z</dcterms:modified>
</cp:coreProperties>
</file>