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9" w:rsidRPr="002B6989" w:rsidRDefault="00D94221" w:rsidP="00D94221">
      <w:pPr>
        <w:spacing w:line="288" w:lineRule="auto"/>
        <w:jc w:val="center"/>
        <w:rPr>
          <w:b/>
          <w:sz w:val="26"/>
          <w:szCs w:val="26"/>
        </w:rPr>
      </w:pPr>
      <w:r w:rsidRPr="002B6989">
        <w:rPr>
          <w:b/>
          <w:sz w:val="26"/>
          <w:szCs w:val="26"/>
        </w:rPr>
        <w:t>Пояснительная записка</w:t>
      </w:r>
    </w:p>
    <w:p w:rsidR="00CA5F49" w:rsidRPr="002B6989" w:rsidRDefault="00CA5F49" w:rsidP="00D94221">
      <w:pPr>
        <w:spacing w:line="288" w:lineRule="auto"/>
        <w:jc w:val="center"/>
        <w:rPr>
          <w:b/>
          <w:sz w:val="26"/>
          <w:szCs w:val="26"/>
        </w:rPr>
      </w:pPr>
      <w:r w:rsidRPr="002B6989">
        <w:rPr>
          <w:b/>
          <w:sz w:val="26"/>
          <w:szCs w:val="26"/>
        </w:rPr>
        <w:t>к прогнозу социально-экономического развития Архангельской области и отдельны</w:t>
      </w:r>
      <w:r w:rsidR="0067340B">
        <w:rPr>
          <w:b/>
          <w:sz w:val="26"/>
          <w:szCs w:val="26"/>
        </w:rPr>
        <w:t>м</w:t>
      </w:r>
      <w:r w:rsidRPr="002B6989">
        <w:rPr>
          <w:b/>
          <w:sz w:val="26"/>
          <w:szCs w:val="26"/>
        </w:rPr>
        <w:t xml:space="preserve"> показател</w:t>
      </w:r>
      <w:r w:rsidR="0067340B">
        <w:rPr>
          <w:b/>
          <w:sz w:val="26"/>
          <w:szCs w:val="26"/>
        </w:rPr>
        <w:t>ям</w:t>
      </w:r>
      <w:r w:rsidRPr="002B6989">
        <w:rPr>
          <w:b/>
          <w:sz w:val="26"/>
          <w:szCs w:val="26"/>
        </w:rPr>
        <w:t xml:space="preserve"> прогноза социально-экономического развития </w:t>
      </w:r>
      <w:r w:rsidR="00945753" w:rsidRPr="002B6989">
        <w:rPr>
          <w:b/>
          <w:sz w:val="26"/>
          <w:szCs w:val="26"/>
        </w:rPr>
        <w:br/>
      </w:r>
      <w:r w:rsidRPr="002B6989">
        <w:rPr>
          <w:b/>
          <w:sz w:val="26"/>
          <w:szCs w:val="26"/>
        </w:rPr>
        <w:t>Ненецкого автономного округа</w:t>
      </w:r>
    </w:p>
    <w:p w:rsidR="00CA5F49" w:rsidRPr="002B6989" w:rsidRDefault="00CA5F49" w:rsidP="00D94221">
      <w:pPr>
        <w:spacing w:line="288" w:lineRule="auto"/>
        <w:jc w:val="center"/>
        <w:rPr>
          <w:b/>
          <w:sz w:val="26"/>
          <w:szCs w:val="26"/>
        </w:rPr>
      </w:pPr>
      <w:r w:rsidRPr="002B6989">
        <w:rPr>
          <w:b/>
          <w:sz w:val="26"/>
          <w:szCs w:val="26"/>
        </w:rPr>
        <w:t>на 201</w:t>
      </w:r>
      <w:r w:rsidR="00DE00B6" w:rsidRPr="002B6989">
        <w:rPr>
          <w:b/>
          <w:sz w:val="26"/>
          <w:szCs w:val="26"/>
        </w:rPr>
        <w:t>6</w:t>
      </w:r>
      <w:r w:rsidRPr="002B6989">
        <w:rPr>
          <w:b/>
          <w:sz w:val="26"/>
          <w:szCs w:val="26"/>
        </w:rPr>
        <w:t xml:space="preserve"> год и плановый период до 201</w:t>
      </w:r>
      <w:r w:rsidR="00DE00B6" w:rsidRPr="002B6989">
        <w:rPr>
          <w:b/>
          <w:sz w:val="26"/>
          <w:szCs w:val="26"/>
        </w:rPr>
        <w:t>8</w:t>
      </w:r>
      <w:r w:rsidRPr="002B6989">
        <w:rPr>
          <w:b/>
          <w:sz w:val="26"/>
          <w:szCs w:val="26"/>
        </w:rPr>
        <w:t xml:space="preserve"> года</w:t>
      </w:r>
    </w:p>
    <w:p w:rsidR="00B445F6" w:rsidRPr="002B6989" w:rsidRDefault="00B445F6" w:rsidP="00D94221">
      <w:pPr>
        <w:spacing w:line="288" w:lineRule="auto"/>
        <w:jc w:val="center"/>
        <w:rPr>
          <w:sz w:val="26"/>
          <w:szCs w:val="26"/>
        </w:rPr>
      </w:pPr>
    </w:p>
    <w:p w:rsidR="00FF79E3" w:rsidRPr="002B6989" w:rsidRDefault="00FF79E3" w:rsidP="00D94221">
      <w:pPr>
        <w:pStyle w:val="1"/>
        <w:spacing w:before="0" w:after="0"/>
        <w:rPr>
          <w:szCs w:val="26"/>
        </w:rPr>
      </w:pPr>
      <w:r w:rsidRPr="002B6989">
        <w:rPr>
          <w:szCs w:val="26"/>
        </w:rPr>
        <w:t>Общеэкономическая ситуация:</w:t>
      </w:r>
    </w:p>
    <w:p w:rsidR="00FF79E3" w:rsidRPr="002B6989" w:rsidRDefault="00FF79E3" w:rsidP="00D94221">
      <w:pPr>
        <w:spacing w:line="288" w:lineRule="auto"/>
        <w:ind w:firstLine="709"/>
        <w:jc w:val="both"/>
        <w:rPr>
          <w:i/>
          <w:sz w:val="26"/>
          <w:szCs w:val="26"/>
        </w:rPr>
      </w:pPr>
      <w:r w:rsidRPr="002B6989">
        <w:rPr>
          <w:b/>
          <w:sz w:val="26"/>
          <w:szCs w:val="26"/>
        </w:rPr>
        <w:t>Российская Федерация</w:t>
      </w:r>
      <w:r w:rsidR="00723E4F" w:rsidRPr="002B6989">
        <w:rPr>
          <w:b/>
          <w:sz w:val="26"/>
          <w:szCs w:val="26"/>
        </w:rPr>
        <w:t xml:space="preserve"> </w:t>
      </w:r>
      <w:r w:rsidR="00723E4F" w:rsidRPr="002B6989">
        <w:rPr>
          <w:i/>
          <w:sz w:val="26"/>
          <w:szCs w:val="26"/>
        </w:rPr>
        <w:t xml:space="preserve">(из </w:t>
      </w:r>
      <w:r w:rsidR="00723E4F" w:rsidRPr="002B6989">
        <w:rPr>
          <w:bCs/>
          <w:i/>
          <w:sz w:val="26"/>
          <w:szCs w:val="26"/>
        </w:rPr>
        <w:t>сценарных условий, основных параметров прогноза социально-экономического развития Российской Федерации на 201</w:t>
      </w:r>
      <w:r w:rsidR="00D94221" w:rsidRPr="002B6989">
        <w:rPr>
          <w:bCs/>
          <w:i/>
          <w:sz w:val="26"/>
          <w:szCs w:val="26"/>
        </w:rPr>
        <w:t>6</w:t>
      </w:r>
      <w:r w:rsidR="00723E4F" w:rsidRPr="002B6989">
        <w:rPr>
          <w:bCs/>
          <w:i/>
          <w:sz w:val="26"/>
          <w:szCs w:val="26"/>
        </w:rPr>
        <w:t xml:space="preserve"> год и на плановый период 201</w:t>
      </w:r>
      <w:r w:rsidR="00D94221" w:rsidRPr="002B6989">
        <w:rPr>
          <w:bCs/>
          <w:i/>
          <w:sz w:val="26"/>
          <w:szCs w:val="26"/>
        </w:rPr>
        <w:t>7</w:t>
      </w:r>
      <w:r w:rsidR="00723E4F" w:rsidRPr="002B6989">
        <w:rPr>
          <w:bCs/>
          <w:i/>
          <w:sz w:val="26"/>
          <w:szCs w:val="26"/>
        </w:rPr>
        <w:t xml:space="preserve"> и 201</w:t>
      </w:r>
      <w:r w:rsidR="00D94221" w:rsidRPr="002B6989">
        <w:rPr>
          <w:bCs/>
          <w:i/>
          <w:sz w:val="26"/>
          <w:szCs w:val="26"/>
        </w:rPr>
        <w:t>8</w:t>
      </w:r>
      <w:r w:rsidR="00723E4F" w:rsidRPr="002B6989">
        <w:rPr>
          <w:bCs/>
          <w:i/>
          <w:sz w:val="26"/>
          <w:szCs w:val="26"/>
        </w:rPr>
        <w:t xml:space="preserve"> годов Министерства экономического развития Российской Федерации)</w:t>
      </w:r>
      <w:r w:rsidRPr="002B6989">
        <w:rPr>
          <w:i/>
          <w:sz w:val="26"/>
          <w:szCs w:val="26"/>
        </w:rPr>
        <w:t>:</w:t>
      </w:r>
    </w:p>
    <w:p w:rsidR="00D94221" w:rsidRPr="00170566" w:rsidRDefault="00D94221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2B6989">
        <w:rPr>
          <w:sz w:val="26"/>
          <w:szCs w:val="26"/>
        </w:rPr>
        <w:t xml:space="preserve">При развитии российской экономики по базовому сценарию в 2015 году ожидаемый спад ВВП составит </w:t>
      </w:r>
      <w:r w:rsidR="002B6989" w:rsidRPr="002B6989">
        <w:rPr>
          <w:sz w:val="26"/>
          <w:szCs w:val="26"/>
        </w:rPr>
        <w:t>3,9</w:t>
      </w:r>
      <w:r w:rsidRPr="002B6989">
        <w:rPr>
          <w:sz w:val="26"/>
          <w:szCs w:val="26"/>
        </w:rPr>
        <w:t xml:space="preserve"> процента. Траектории развития отраслей и возможности достижения прогнозных ориентиров в 2016</w:t>
      </w:r>
      <w:r w:rsidR="002B6989">
        <w:rPr>
          <w:sz w:val="26"/>
          <w:szCs w:val="26"/>
        </w:rPr>
        <w:t>-</w:t>
      </w:r>
      <w:r w:rsidRPr="002B6989">
        <w:rPr>
          <w:sz w:val="26"/>
          <w:szCs w:val="26"/>
        </w:rPr>
        <w:t xml:space="preserve">2018 гг. будут определяться тем, насколько внутренние источники роста окажутся способны заместить исчерпание положительного краткосрочного эффекта для экономики, полученного от ослабления рубля в конце 2014 года. </w:t>
      </w:r>
    </w:p>
    <w:p w:rsidR="00D94221" w:rsidRPr="002B6989" w:rsidRDefault="00D94221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2B6989">
        <w:rPr>
          <w:sz w:val="26"/>
          <w:szCs w:val="26"/>
        </w:rPr>
        <w:t xml:space="preserve">В 2015 году ведущую роль в сокращении производства ВВП продолжит играть сжатие потребительского и инвестиционного спроса. </w:t>
      </w:r>
    </w:p>
    <w:p w:rsidR="00170566" w:rsidRPr="00170566" w:rsidRDefault="00D94221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170566">
        <w:rPr>
          <w:sz w:val="26"/>
          <w:szCs w:val="26"/>
        </w:rPr>
        <w:t xml:space="preserve">Наибольший вклад в снижение темпов роста экономики внесет </w:t>
      </w:r>
      <w:r w:rsidR="005D3577">
        <w:rPr>
          <w:sz w:val="26"/>
          <w:szCs w:val="26"/>
        </w:rPr>
        <w:t xml:space="preserve">отрицательное </w:t>
      </w:r>
      <w:r w:rsidRPr="00170566">
        <w:rPr>
          <w:sz w:val="26"/>
          <w:szCs w:val="26"/>
        </w:rPr>
        <w:t>валовое накопление. Закрытость мировых рынков капитала для большинства российских банков и</w:t>
      </w:r>
      <w:r w:rsidR="00170566" w:rsidRPr="00170566">
        <w:rPr>
          <w:sz w:val="26"/>
          <w:szCs w:val="26"/>
        </w:rPr>
        <w:t xml:space="preserve"> </w:t>
      </w:r>
      <w:r w:rsidRPr="00170566">
        <w:rPr>
          <w:sz w:val="26"/>
          <w:szCs w:val="26"/>
        </w:rPr>
        <w:t xml:space="preserve">компаний, неопределенность и экономическая неуверенность приведут к сокращению накопления основного капитала. </w:t>
      </w:r>
    </w:p>
    <w:p w:rsidR="00D94221" w:rsidRPr="00170566" w:rsidRDefault="00D94221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170566">
        <w:rPr>
          <w:sz w:val="26"/>
          <w:szCs w:val="26"/>
        </w:rPr>
        <w:t>В среднесрочной перспективе возобновление промышленного роста и увеличение реальных располагаемых доходов домашних хозяй</w:t>
      </w:r>
      <w:proofErr w:type="gramStart"/>
      <w:r w:rsidRPr="00170566">
        <w:rPr>
          <w:sz w:val="26"/>
          <w:szCs w:val="26"/>
        </w:rPr>
        <w:t>ств ст</w:t>
      </w:r>
      <w:proofErr w:type="gramEnd"/>
      <w:r w:rsidRPr="00170566">
        <w:rPr>
          <w:sz w:val="26"/>
          <w:szCs w:val="26"/>
        </w:rPr>
        <w:t xml:space="preserve">анут определяющими внутренними факторами для резкой активизации инвестирования и начала восстановления потребительского спроса. Основным внешним фактором будут оставаться показатели внешнеторговой деятельности, поскольку экспортный сектор экономики продолжает концентрировать в себе инвестиционные ресурсы. </w:t>
      </w:r>
    </w:p>
    <w:p w:rsidR="00BF15AC" w:rsidRPr="00170566" w:rsidRDefault="00BF15AC" w:rsidP="001F2CA8">
      <w:pPr>
        <w:pStyle w:val="1"/>
        <w:spacing w:before="120" w:after="0"/>
        <w:jc w:val="both"/>
        <w:rPr>
          <w:szCs w:val="26"/>
        </w:rPr>
      </w:pPr>
      <w:r w:rsidRPr="00170566">
        <w:rPr>
          <w:szCs w:val="26"/>
        </w:rPr>
        <w:t xml:space="preserve">Исходные условия для формирования прогноза развития на период </w:t>
      </w:r>
      <w:r w:rsidR="00170566" w:rsidRPr="00170566">
        <w:rPr>
          <w:szCs w:val="26"/>
        </w:rPr>
        <w:br/>
      </w:r>
      <w:r w:rsidRPr="00170566">
        <w:rPr>
          <w:szCs w:val="26"/>
        </w:rPr>
        <w:t>до 2018 года</w:t>
      </w:r>
    </w:p>
    <w:tbl>
      <w:tblPr>
        <w:tblStyle w:val="ac"/>
        <w:tblW w:w="0" w:type="auto"/>
        <w:tblLook w:val="04A0"/>
      </w:tblPr>
      <w:tblGrid>
        <w:gridCol w:w="3368"/>
        <w:gridCol w:w="1550"/>
        <w:gridCol w:w="1551"/>
        <w:gridCol w:w="1550"/>
        <w:gridCol w:w="1551"/>
      </w:tblGrid>
      <w:tr w:rsidR="00BF15AC" w:rsidRPr="00170566" w:rsidTr="007437A9">
        <w:tc>
          <w:tcPr>
            <w:tcW w:w="3369" w:type="dxa"/>
          </w:tcPr>
          <w:p w:rsidR="00BF15AC" w:rsidRPr="00170566" w:rsidRDefault="00BF15AC" w:rsidP="007437A9">
            <w:pPr>
              <w:spacing w:before="60" w:after="60"/>
              <w:rPr>
                <w:szCs w:val="26"/>
              </w:rPr>
            </w:pPr>
          </w:p>
        </w:tc>
        <w:tc>
          <w:tcPr>
            <w:tcW w:w="1550" w:type="dxa"/>
          </w:tcPr>
          <w:p w:rsidR="00BF15AC" w:rsidRPr="00170566" w:rsidRDefault="00BF15AC" w:rsidP="00BE0031">
            <w:pPr>
              <w:spacing w:before="60" w:after="60"/>
              <w:jc w:val="center"/>
              <w:rPr>
                <w:szCs w:val="26"/>
              </w:rPr>
            </w:pPr>
            <w:r w:rsidRPr="00170566">
              <w:rPr>
                <w:szCs w:val="26"/>
              </w:rPr>
              <w:t>2015 год</w:t>
            </w:r>
          </w:p>
        </w:tc>
        <w:tc>
          <w:tcPr>
            <w:tcW w:w="1551" w:type="dxa"/>
          </w:tcPr>
          <w:p w:rsidR="00BF15AC" w:rsidRPr="00170566" w:rsidRDefault="00BF15AC" w:rsidP="00BE0031">
            <w:pPr>
              <w:spacing w:before="60" w:after="60"/>
              <w:jc w:val="center"/>
              <w:rPr>
                <w:szCs w:val="26"/>
              </w:rPr>
            </w:pPr>
            <w:r w:rsidRPr="00170566">
              <w:rPr>
                <w:szCs w:val="26"/>
              </w:rPr>
              <w:t>2016 год</w:t>
            </w:r>
          </w:p>
        </w:tc>
        <w:tc>
          <w:tcPr>
            <w:tcW w:w="1550" w:type="dxa"/>
          </w:tcPr>
          <w:p w:rsidR="00BF15AC" w:rsidRPr="00170566" w:rsidRDefault="00BF15AC" w:rsidP="00BE0031">
            <w:pPr>
              <w:spacing w:before="60" w:after="60"/>
              <w:jc w:val="center"/>
              <w:rPr>
                <w:szCs w:val="26"/>
              </w:rPr>
            </w:pPr>
            <w:r w:rsidRPr="00170566">
              <w:rPr>
                <w:szCs w:val="26"/>
              </w:rPr>
              <w:t>2017 год</w:t>
            </w:r>
          </w:p>
        </w:tc>
        <w:tc>
          <w:tcPr>
            <w:tcW w:w="1551" w:type="dxa"/>
          </w:tcPr>
          <w:p w:rsidR="00BF15AC" w:rsidRPr="00170566" w:rsidRDefault="00BF15AC" w:rsidP="00BE0031">
            <w:pPr>
              <w:spacing w:before="60" w:after="60"/>
              <w:jc w:val="center"/>
              <w:rPr>
                <w:szCs w:val="26"/>
              </w:rPr>
            </w:pPr>
            <w:r w:rsidRPr="00170566">
              <w:rPr>
                <w:szCs w:val="26"/>
              </w:rPr>
              <w:t>2018 год</w:t>
            </w:r>
          </w:p>
        </w:tc>
      </w:tr>
      <w:tr w:rsidR="00BF15AC" w:rsidRPr="00170566" w:rsidTr="007437A9">
        <w:tc>
          <w:tcPr>
            <w:tcW w:w="3369" w:type="dxa"/>
          </w:tcPr>
          <w:p w:rsidR="00BF15AC" w:rsidRPr="00170566" w:rsidRDefault="00BF15AC" w:rsidP="007437A9">
            <w:pPr>
              <w:rPr>
                <w:color w:val="000000"/>
                <w:szCs w:val="26"/>
              </w:rPr>
            </w:pPr>
            <w:r w:rsidRPr="00170566">
              <w:rPr>
                <w:bCs/>
                <w:color w:val="000000"/>
                <w:szCs w:val="26"/>
              </w:rPr>
              <w:t xml:space="preserve">Цены на нефть </w:t>
            </w:r>
            <w:proofErr w:type="spellStart"/>
            <w:r w:rsidRPr="00170566">
              <w:rPr>
                <w:bCs/>
                <w:color w:val="000000"/>
                <w:szCs w:val="26"/>
              </w:rPr>
              <w:t>Urals</w:t>
            </w:r>
            <w:proofErr w:type="spellEnd"/>
            <w:r w:rsidRPr="00170566">
              <w:rPr>
                <w:bCs/>
                <w:color w:val="000000"/>
                <w:szCs w:val="26"/>
              </w:rPr>
              <w:t xml:space="preserve"> (мировые)</w:t>
            </w:r>
            <w:r w:rsidRPr="00170566">
              <w:rPr>
                <w:color w:val="000000"/>
                <w:szCs w:val="26"/>
              </w:rPr>
              <w:t xml:space="preserve">, долл. / </w:t>
            </w:r>
            <w:proofErr w:type="spellStart"/>
            <w:r w:rsidRPr="00170566">
              <w:rPr>
                <w:color w:val="000000"/>
                <w:szCs w:val="26"/>
              </w:rPr>
              <w:t>барр</w:t>
            </w:r>
            <w:proofErr w:type="spellEnd"/>
            <w:r w:rsidRPr="00170566">
              <w:rPr>
                <w:color w:val="000000"/>
                <w:szCs w:val="26"/>
              </w:rPr>
              <w:t>.</w:t>
            </w:r>
          </w:p>
          <w:p w:rsidR="00BF15AC" w:rsidRPr="00170566" w:rsidRDefault="00BF15AC" w:rsidP="007437A9">
            <w:pPr>
              <w:rPr>
                <w:szCs w:val="26"/>
              </w:rPr>
            </w:pPr>
          </w:p>
        </w:tc>
        <w:tc>
          <w:tcPr>
            <w:tcW w:w="1550" w:type="dxa"/>
            <w:vAlign w:val="center"/>
          </w:tcPr>
          <w:p w:rsidR="00BF15AC" w:rsidRPr="00170566" w:rsidRDefault="00170566" w:rsidP="0017056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53,0</w:t>
            </w:r>
          </w:p>
        </w:tc>
        <w:tc>
          <w:tcPr>
            <w:tcW w:w="1551" w:type="dxa"/>
            <w:vAlign w:val="center"/>
          </w:tcPr>
          <w:p w:rsidR="00BF15AC" w:rsidRPr="00170566" w:rsidRDefault="00170566" w:rsidP="007437A9">
            <w:pPr>
              <w:jc w:val="center"/>
              <w:rPr>
                <w:color w:val="000000"/>
                <w:szCs w:val="26"/>
              </w:rPr>
            </w:pPr>
            <w:r w:rsidRPr="00170566">
              <w:rPr>
                <w:color w:val="000000"/>
                <w:szCs w:val="26"/>
              </w:rPr>
              <w:t>5</w:t>
            </w:r>
            <w:r w:rsidR="00BF15AC" w:rsidRPr="00170566">
              <w:rPr>
                <w:color w:val="000000"/>
                <w:szCs w:val="26"/>
              </w:rPr>
              <w:t>0,0</w:t>
            </w:r>
          </w:p>
        </w:tc>
        <w:tc>
          <w:tcPr>
            <w:tcW w:w="1550" w:type="dxa"/>
            <w:vAlign w:val="center"/>
          </w:tcPr>
          <w:p w:rsidR="00BF15AC" w:rsidRPr="00170566" w:rsidRDefault="00170566" w:rsidP="007437A9">
            <w:pPr>
              <w:jc w:val="center"/>
              <w:rPr>
                <w:color w:val="000000"/>
                <w:szCs w:val="26"/>
              </w:rPr>
            </w:pPr>
            <w:r w:rsidRPr="00170566">
              <w:rPr>
                <w:color w:val="000000"/>
                <w:szCs w:val="26"/>
              </w:rPr>
              <w:t>52</w:t>
            </w:r>
            <w:r w:rsidR="00BF15AC" w:rsidRPr="00170566">
              <w:rPr>
                <w:color w:val="000000"/>
                <w:szCs w:val="26"/>
              </w:rPr>
              <w:t>,0</w:t>
            </w:r>
          </w:p>
        </w:tc>
        <w:tc>
          <w:tcPr>
            <w:tcW w:w="1551" w:type="dxa"/>
            <w:vAlign w:val="center"/>
          </w:tcPr>
          <w:p w:rsidR="00BF15AC" w:rsidRPr="00170566" w:rsidRDefault="00170566" w:rsidP="007437A9">
            <w:pPr>
              <w:jc w:val="center"/>
              <w:rPr>
                <w:color w:val="000000"/>
                <w:szCs w:val="26"/>
              </w:rPr>
            </w:pPr>
            <w:r w:rsidRPr="00170566">
              <w:rPr>
                <w:color w:val="000000"/>
                <w:szCs w:val="26"/>
              </w:rPr>
              <w:t>55</w:t>
            </w:r>
            <w:r w:rsidR="00BF15AC" w:rsidRPr="00170566">
              <w:rPr>
                <w:color w:val="000000"/>
                <w:szCs w:val="26"/>
              </w:rPr>
              <w:t>,0</w:t>
            </w:r>
          </w:p>
        </w:tc>
      </w:tr>
      <w:tr w:rsidR="00BF15AC" w:rsidRPr="00170566" w:rsidTr="007437A9">
        <w:tc>
          <w:tcPr>
            <w:tcW w:w="3369" w:type="dxa"/>
          </w:tcPr>
          <w:p w:rsidR="00BF15AC" w:rsidRPr="00170566" w:rsidRDefault="00BF15AC" w:rsidP="007437A9">
            <w:pPr>
              <w:rPr>
                <w:szCs w:val="26"/>
              </w:rPr>
            </w:pPr>
            <w:r w:rsidRPr="00170566">
              <w:rPr>
                <w:szCs w:val="26"/>
              </w:rPr>
              <w:t>Курс доллара (среднегодовой), рублей за доллар США</w:t>
            </w:r>
          </w:p>
          <w:p w:rsidR="00BF15AC" w:rsidRPr="00170566" w:rsidRDefault="00BF15AC" w:rsidP="007437A9">
            <w:pPr>
              <w:rPr>
                <w:szCs w:val="26"/>
              </w:rPr>
            </w:pPr>
          </w:p>
        </w:tc>
        <w:tc>
          <w:tcPr>
            <w:tcW w:w="1550" w:type="dxa"/>
            <w:vAlign w:val="center"/>
          </w:tcPr>
          <w:p w:rsidR="00BF15AC" w:rsidRPr="00170566" w:rsidRDefault="00170566" w:rsidP="007437A9">
            <w:pPr>
              <w:jc w:val="center"/>
              <w:rPr>
                <w:szCs w:val="26"/>
              </w:rPr>
            </w:pPr>
            <w:r w:rsidRPr="00170566">
              <w:rPr>
                <w:szCs w:val="26"/>
              </w:rPr>
              <w:t>61,0</w:t>
            </w:r>
          </w:p>
        </w:tc>
        <w:tc>
          <w:tcPr>
            <w:tcW w:w="1551" w:type="dxa"/>
            <w:vAlign w:val="center"/>
          </w:tcPr>
          <w:p w:rsidR="00BF15AC" w:rsidRPr="00170566" w:rsidRDefault="00170566" w:rsidP="007437A9">
            <w:pPr>
              <w:jc w:val="center"/>
              <w:rPr>
                <w:szCs w:val="26"/>
              </w:rPr>
            </w:pPr>
            <w:r w:rsidRPr="00170566">
              <w:rPr>
                <w:szCs w:val="26"/>
              </w:rPr>
              <w:t>63,3</w:t>
            </w:r>
          </w:p>
        </w:tc>
        <w:tc>
          <w:tcPr>
            <w:tcW w:w="1550" w:type="dxa"/>
            <w:vAlign w:val="center"/>
          </w:tcPr>
          <w:p w:rsidR="00BF15AC" w:rsidRPr="00170566" w:rsidRDefault="00170566" w:rsidP="007437A9">
            <w:pPr>
              <w:jc w:val="center"/>
              <w:rPr>
                <w:szCs w:val="26"/>
              </w:rPr>
            </w:pPr>
            <w:r w:rsidRPr="00170566">
              <w:rPr>
                <w:szCs w:val="26"/>
              </w:rPr>
              <w:t>63,1</w:t>
            </w:r>
          </w:p>
        </w:tc>
        <w:tc>
          <w:tcPr>
            <w:tcW w:w="1551" w:type="dxa"/>
            <w:vAlign w:val="center"/>
          </w:tcPr>
          <w:p w:rsidR="00BF15AC" w:rsidRPr="00170566" w:rsidRDefault="00170566" w:rsidP="007437A9">
            <w:pPr>
              <w:jc w:val="center"/>
              <w:rPr>
                <w:szCs w:val="26"/>
              </w:rPr>
            </w:pPr>
            <w:r w:rsidRPr="00170566">
              <w:rPr>
                <w:szCs w:val="26"/>
              </w:rPr>
              <w:t>62,5</w:t>
            </w:r>
          </w:p>
        </w:tc>
      </w:tr>
      <w:tr w:rsidR="00BF15AC" w:rsidRPr="00170566" w:rsidTr="007437A9">
        <w:tc>
          <w:tcPr>
            <w:tcW w:w="3369" w:type="dxa"/>
          </w:tcPr>
          <w:p w:rsidR="00BF15AC" w:rsidRPr="006A574F" w:rsidRDefault="00BF15AC" w:rsidP="007437A9">
            <w:pPr>
              <w:rPr>
                <w:szCs w:val="26"/>
              </w:rPr>
            </w:pPr>
            <w:r w:rsidRPr="006A574F">
              <w:rPr>
                <w:szCs w:val="26"/>
              </w:rPr>
              <w:t>Индекс потребительских цен в среднем за год, %</w:t>
            </w:r>
          </w:p>
          <w:p w:rsidR="00BF15AC" w:rsidRPr="006A574F" w:rsidRDefault="00BF15AC" w:rsidP="007437A9">
            <w:pPr>
              <w:rPr>
                <w:szCs w:val="26"/>
              </w:rPr>
            </w:pPr>
          </w:p>
        </w:tc>
        <w:tc>
          <w:tcPr>
            <w:tcW w:w="1550" w:type="dxa"/>
            <w:vAlign w:val="center"/>
          </w:tcPr>
          <w:p w:rsidR="00BF15AC" w:rsidRPr="006A574F" w:rsidRDefault="00BF15AC" w:rsidP="006A574F">
            <w:pPr>
              <w:jc w:val="center"/>
              <w:rPr>
                <w:szCs w:val="26"/>
              </w:rPr>
            </w:pPr>
            <w:r w:rsidRPr="006A574F">
              <w:rPr>
                <w:szCs w:val="26"/>
              </w:rPr>
              <w:t>115,</w:t>
            </w:r>
            <w:r w:rsidR="006A574F" w:rsidRPr="006A574F">
              <w:rPr>
                <w:szCs w:val="26"/>
              </w:rPr>
              <w:t>4</w:t>
            </w:r>
          </w:p>
        </w:tc>
        <w:tc>
          <w:tcPr>
            <w:tcW w:w="1551" w:type="dxa"/>
            <w:vAlign w:val="center"/>
          </w:tcPr>
          <w:p w:rsidR="00BF15AC" w:rsidRPr="006A574F" w:rsidRDefault="006A574F" w:rsidP="007437A9">
            <w:pPr>
              <w:jc w:val="center"/>
              <w:rPr>
                <w:szCs w:val="26"/>
              </w:rPr>
            </w:pPr>
            <w:r w:rsidRPr="006A574F">
              <w:rPr>
                <w:szCs w:val="26"/>
              </w:rPr>
              <w:t>107,4</w:t>
            </w:r>
          </w:p>
        </w:tc>
        <w:tc>
          <w:tcPr>
            <w:tcW w:w="1550" w:type="dxa"/>
            <w:vAlign w:val="center"/>
          </w:tcPr>
          <w:p w:rsidR="00BF15AC" w:rsidRPr="006A574F" w:rsidRDefault="006A574F" w:rsidP="007437A9">
            <w:pPr>
              <w:jc w:val="center"/>
              <w:rPr>
                <w:szCs w:val="26"/>
              </w:rPr>
            </w:pPr>
            <w:r w:rsidRPr="006A574F">
              <w:rPr>
                <w:szCs w:val="26"/>
              </w:rPr>
              <w:t>105,8</w:t>
            </w:r>
          </w:p>
        </w:tc>
        <w:tc>
          <w:tcPr>
            <w:tcW w:w="1551" w:type="dxa"/>
            <w:vAlign w:val="center"/>
          </w:tcPr>
          <w:p w:rsidR="00BF15AC" w:rsidRPr="006A574F" w:rsidRDefault="00BF15AC" w:rsidP="007437A9">
            <w:pPr>
              <w:jc w:val="center"/>
              <w:rPr>
                <w:szCs w:val="26"/>
              </w:rPr>
            </w:pPr>
            <w:r w:rsidRPr="006A574F">
              <w:rPr>
                <w:szCs w:val="26"/>
              </w:rPr>
              <w:t>105,5</w:t>
            </w:r>
          </w:p>
        </w:tc>
      </w:tr>
    </w:tbl>
    <w:p w:rsidR="00170566" w:rsidRDefault="00170566" w:rsidP="00D94221">
      <w:pPr>
        <w:spacing w:line="288" w:lineRule="auto"/>
        <w:ind w:firstLine="709"/>
        <w:jc w:val="both"/>
        <w:rPr>
          <w:b/>
          <w:sz w:val="26"/>
          <w:szCs w:val="26"/>
          <w:highlight w:val="yellow"/>
        </w:rPr>
      </w:pPr>
    </w:p>
    <w:p w:rsidR="00DF7788" w:rsidRDefault="00DF7788" w:rsidP="00D94221">
      <w:pPr>
        <w:spacing w:line="288" w:lineRule="auto"/>
        <w:ind w:firstLine="709"/>
        <w:jc w:val="both"/>
        <w:rPr>
          <w:b/>
          <w:sz w:val="26"/>
          <w:szCs w:val="26"/>
          <w:highlight w:val="yellow"/>
        </w:rPr>
      </w:pPr>
    </w:p>
    <w:p w:rsidR="00DF7788" w:rsidRDefault="00DF7788" w:rsidP="00D94221">
      <w:pPr>
        <w:spacing w:line="288" w:lineRule="auto"/>
        <w:ind w:firstLine="709"/>
        <w:jc w:val="both"/>
        <w:rPr>
          <w:b/>
          <w:sz w:val="26"/>
          <w:szCs w:val="26"/>
          <w:highlight w:val="yellow"/>
        </w:rPr>
      </w:pPr>
    </w:p>
    <w:p w:rsidR="00FF79E3" w:rsidRPr="006A574F" w:rsidRDefault="00FF79E3" w:rsidP="00D94221">
      <w:pPr>
        <w:spacing w:line="288" w:lineRule="auto"/>
        <w:ind w:firstLine="709"/>
        <w:jc w:val="both"/>
        <w:rPr>
          <w:b/>
          <w:sz w:val="26"/>
          <w:szCs w:val="26"/>
        </w:rPr>
      </w:pPr>
      <w:r w:rsidRPr="006A574F">
        <w:rPr>
          <w:b/>
          <w:sz w:val="26"/>
          <w:szCs w:val="26"/>
        </w:rPr>
        <w:lastRenderedPageBreak/>
        <w:t>Архангельская область и Ненецкий автономный округ:</w:t>
      </w:r>
    </w:p>
    <w:tbl>
      <w:tblPr>
        <w:tblW w:w="924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9"/>
        <w:gridCol w:w="1163"/>
        <w:gridCol w:w="1559"/>
        <w:gridCol w:w="1276"/>
        <w:gridCol w:w="1701"/>
      </w:tblGrid>
      <w:tr w:rsidR="0074717C" w:rsidRPr="005024EF" w:rsidTr="001B29ED">
        <w:tc>
          <w:tcPr>
            <w:tcW w:w="3549" w:type="dxa"/>
            <w:vMerge w:val="restart"/>
            <w:shd w:val="clear" w:color="000000" w:fill="FFFFFF"/>
            <w:vAlign w:val="center"/>
            <w:hideMark/>
          </w:tcPr>
          <w:p w:rsidR="0074717C" w:rsidRPr="005024EF" w:rsidRDefault="0074717C" w:rsidP="005024EF">
            <w:pPr>
              <w:spacing w:line="228" w:lineRule="auto"/>
              <w:jc w:val="center"/>
            </w:pPr>
            <w:r w:rsidRPr="005024EF">
              <w:t>Показатель</w:t>
            </w:r>
          </w:p>
        </w:tc>
        <w:tc>
          <w:tcPr>
            <w:tcW w:w="2722" w:type="dxa"/>
            <w:gridSpan w:val="2"/>
            <w:shd w:val="clear" w:color="000000" w:fill="FFFFFF"/>
            <w:vAlign w:val="center"/>
            <w:hideMark/>
          </w:tcPr>
          <w:p w:rsidR="0074717C" w:rsidRPr="005024EF" w:rsidRDefault="0074717C" w:rsidP="005024EF">
            <w:pPr>
              <w:spacing w:line="228" w:lineRule="auto"/>
              <w:jc w:val="center"/>
            </w:pPr>
            <w:r w:rsidRPr="005024EF">
              <w:t>Архангельская область без учёта НАО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  <w:hideMark/>
          </w:tcPr>
          <w:p w:rsidR="0074717C" w:rsidRPr="005024EF" w:rsidRDefault="0074717C" w:rsidP="005024EF">
            <w:pPr>
              <w:spacing w:line="228" w:lineRule="auto"/>
              <w:jc w:val="center"/>
            </w:pPr>
            <w:r w:rsidRPr="005024EF">
              <w:t>Ненецкий автономный округ</w:t>
            </w:r>
          </w:p>
        </w:tc>
      </w:tr>
      <w:tr w:rsidR="006A574F" w:rsidRPr="005024EF" w:rsidTr="001B29ED">
        <w:tc>
          <w:tcPr>
            <w:tcW w:w="3549" w:type="dxa"/>
            <w:vMerge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</w:pP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spacing w:val="-4"/>
              </w:rPr>
            </w:pPr>
            <w:r w:rsidRPr="005024EF">
              <w:rPr>
                <w:spacing w:val="-4"/>
              </w:rPr>
              <w:t>январь-</w:t>
            </w:r>
            <w:r w:rsidR="006A574F" w:rsidRPr="005024EF">
              <w:rPr>
                <w:spacing w:val="-4"/>
              </w:rPr>
              <w:t>август</w:t>
            </w:r>
          </w:p>
          <w:p w:rsidR="00FD1DE2" w:rsidRPr="005024EF" w:rsidRDefault="00FD1DE2" w:rsidP="005024EF">
            <w:pPr>
              <w:spacing w:line="228" w:lineRule="auto"/>
              <w:jc w:val="center"/>
              <w:rPr>
                <w:spacing w:val="-4"/>
              </w:rPr>
            </w:pPr>
            <w:r w:rsidRPr="005024EF">
              <w:rPr>
                <w:spacing w:val="-4"/>
              </w:rPr>
              <w:t>2015 г.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spacing w:val="-4"/>
              </w:rPr>
            </w:pPr>
            <w:r w:rsidRPr="005024EF">
              <w:rPr>
                <w:spacing w:val="-4"/>
              </w:rPr>
              <w:t>2015 г. к 2014 г., 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A574F" w:rsidRPr="005024EF" w:rsidRDefault="006A574F" w:rsidP="005024EF">
            <w:pPr>
              <w:spacing w:line="228" w:lineRule="auto"/>
              <w:jc w:val="center"/>
              <w:rPr>
                <w:spacing w:val="-4"/>
              </w:rPr>
            </w:pPr>
            <w:r w:rsidRPr="005024EF">
              <w:rPr>
                <w:spacing w:val="-4"/>
              </w:rPr>
              <w:t>январь-август</w:t>
            </w:r>
          </w:p>
          <w:p w:rsidR="00FD1DE2" w:rsidRPr="005024EF" w:rsidRDefault="006A574F" w:rsidP="005024EF">
            <w:pPr>
              <w:spacing w:line="228" w:lineRule="auto"/>
              <w:jc w:val="center"/>
              <w:rPr>
                <w:spacing w:val="-4"/>
              </w:rPr>
            </w:pPr>
            <w:r w:rsidRPr="005024EF">
              <w:rPr>
                <w:spacing w:val="-4"/>
              </w:rPr>
              <w:t>2015 г.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B29ED" w:rsidRDefault="00FD1DE2" w:rsidP="005024EF">
            <w:pPr>
              <w:spacing w:line="228" w:lineRule="auto"/>
              <w:jc w:val="center"/>
              <w:rPr>
                <w:spacing w:val="-4"/>
              </w:rPr>
            </w:pPr>
            <w:r w:rsidRPr="005024EF">
              <w:rPr>
                <w:spacing w:val="-4"/>
              </w:rPr>
              <w:t xml:space="preserve">2015 г. </w:t>
            </w:r>
            <w:proofErr w:type="gramStart"/>
            <w:r w:rsidRPr="005024EF">
              <w:rPr>
                <w:spacing w:val="-4"/>
              </w:rPr>
              <w:t>к</w:t>
            </w:r>
            <w:proofErr w:type="gramEnd"/>
            <w:r w:rsidRPr="005024EF">
              <w:rPr>
                <w:spacing w:val="-4"/>
              </w:rPr>
              <w:t xml:space="preserve"> </w:t>
            </w:r>
          </w:p>
          <w:p w:rsidR="00FD1DE2" w:rsidRPr="005024EF" w:rsidRDefault="00FD1DE2" w:rsidP="005024EF">
            <w:pPr>
              <w:spacing w:line="228" w:lineRule="auto"/>
              <w:jc w:val="center"/>
              <w:rPr>
                <w:spacing w:val="-4"/>
              </w:rPr>
            </w:pPr>
            <w:r w:rsidRPr="005024EF">
              <w:rPr>
                <w:spacing w:val="-4"/>
              </w:rPr>
              <w:t>2014 г., %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>Индекс промышленного производства, %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proofErr w:type="spellStart"/>
            <w:r w:rsidRPr="005024EF">
              <w:rPr>
                <w:bCs/>
              </w:rPr>
              <w:t>х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AE1C7C" w:rsidRDefault="00790A40" w:rsidP="005024EF">
            <w:pPr>
              <w:spacing w:line="228" w:lineRule="auto"/>
              <w:jc w:val="center"/>
              <w:rPr>
                <w:bCs/>
              </w:rPr>
            </w:pPr>
            <w:r w:rsidRPr="00AE1C7C">
              <w:rPr>
                <w:bCs/>
              </w:rPr>
              <w:t>97,2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</w:pPr>
            <w:proofErr w:type="spellStart"/>
            <w:r w:rsidRPr="00AE1C7C">
              <w:t>х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107,1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>Объем отгруженных товаров собственного производства, выполненных работ и услуг собственными силами по видам деятельности, млрд. рублей: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AE1C7C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</w:pPr>
            <w:r w:rsidRPr="00AE1C7C"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</w:pPr>
            <w:r w:rsidRPr="00AE1C7C">
              <w:t> 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ind w:left="181"/>
            </w:pPr>
            <w:r w:rsidRPr="005024EF">
              <w:t>добыча полезных ископаемых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790A40" w:rsidP="005024EF">
            <w:pPr>
              <w:spacing w:line="228" w:lineRule="auto"/>
              <w:jc w:val="center"/>
              <w:rPr>
                <w:iCs/>
              </w:rPr>
            </w:pPr>
            <w:r w:rsidRPr="005024EF">
              <w:rPr>
                <w:iCs/>
              </w:rPr>
              <w:t>…</w:t>
            </w:r>
            <w:r w:rsidRPr="002B61E0">
              <w:rPr>
                <w:rStyle w:val="af0"/>
                <w:i/>
                <w:iCs/>
              </w:rPr>
              <w:footnoteReference w:id="1"/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790A40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169,1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121,4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107,6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ind w:left="181"/>
            </w:pPr>
            <w:r w:rsidRPr="005024EF">
              <w:t>обрабатывающие производства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790A40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83,8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790A40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93,3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8,0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101,4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ind w:left="181"/>
            </w:pPr>
            <w:r w:rsidRPr="005024EF">
              <w:t>производство и распределение электроэнергии, газа и воды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790A40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18,5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790A40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99,1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1,6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90,2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>Продукция сельского хозяйства, млрд. рублей</w:t>
            </w:r>
            <w:r w:rsidR="00790A40" w:rsidRPr="002B61E0">
              <w:rPr>
                <w:rStyle w:val="af0"/>
                <w:i/>
              </w:rPr>
              <w:footnoteReference w:id="2"/>
            </w:r>
            <w:r w:rsidRPr="002B61E0">
              <w:rPr>
                <w:i/>
              </w:rPr>
              <w:t xml:space="preserve"> 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3,5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80,8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</w:pPr>
            <w:r w:rsidRPr="00AE1C7C">
              <w:t>0,3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</w:pPr>
            <w:r w:rsidRPr="00AE1C7C">
              <w:t>95,2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>Объем работ по виду деятельности «строительство», млрд. рублей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790A40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15,9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100,</w:t>
            </w:r>
            <w:r w:rsidR="00790A40" w:rsidRPr="005024EF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4,3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50,2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>Ввод в действие жилых домов за счёт всех источников финансирования, тыс. м</w:t>
            </w:r>
            <w:proofErr w:type="gramStart"/>
            <w:r w:rsidRPr="005024EF">
              <w:rPr>
                <w:i/>
                <w:iCs/>
                <w:vertAlign w:val="superscript"/>
              </w:rPr>
              <w:t>2</w:t>
            </w:r>
            <w:proofErr w:type="gramEnd"/>
            <w:r w:rsidRPr="005024EF">
              <w:t xml:space="preserve"> общей площади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790A40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188,9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790A40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112,6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4,8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72,9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>Инвестиции в основной капитал (по полному кругу организаций), млрд. рублей</w:t>
            </w:r>
            <w:proofErr w:type="gramStart"/>
            <w:r w:rsidR="005024EF" w:rsidRPr="002B61E0">
              <w:rPr>
                <w:i/>
                <w:vertAlign w:val="superscript"/>
              </w:rPr>
              <w:t>2</w:t>
            </w:r>
            <w:proofErr w:type="gramEnd"/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5024EF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13,3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5024EF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56,9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>
              <w:t>50,7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>
              <w:t>136,2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>Оборот розничной торговли, млрд. рублей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5024EF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143,0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5024EF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91,9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5,1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93,8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>Оборот общественного питания, млрд. рублей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5024EF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6,5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90,</w:t>
            </w:r>
            <w:r w:rsidR="005024EF" w:rsidRPr="005024EF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FD1DE2" w:rsidP="00AE1C7C">
            <w:pPr>
              <w:spacing w:line="228" w:lineRule="auto"/>
              <w:jc w:val="center"/>
            </w:pPr>
            <w:r w:rsidRPr="00AE1C7C">
              <w:t>0,</w:t>
            </w:r>
            <w:r w:rsidR="00AE1C7C" w:rsidRPr="00AE1C7C">
              <w:t>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91,7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>Среднемесячная заработная плата одного работника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</w:pPr>
            <w:r w:rsidRPr="00AE1C7C"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</w:pPr>
            <w:r w:rsidRPr="00AE1C7C">
              <w:t> 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ind w:left="181"/>
            </w:pPr>
            <w:proofErr w:type="gramStart"/>
            <w:r w:rsidRPr="005024EF">
              <w:t>номинальная</w:t>
            </w:r>
            <w:proofErr w:type="gramEnd"/>
            <w:r w:rsidRPr="005024EF">
              <w:t>, рублей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 xml:space="preserve">34 </w:t>
            </w:r>
            <w:r w:rsidR="005024EF" w:rsidRPr="005024EF">
              <w:rPr>
                <w:bCs/>
              </w:rPr>
              <w:t>872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107,7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5C27EF" w:rsidRDefault="005C27EF" w:rsidP="005024EF">
            <w:pPr>
              <w:spacing w:line="228" w:lineRule="auto"/>
              <w:jc w:val="center"/>
            </w:pPr>
            <w:r w:rsidRPr="005C27EF">
              <w:t>70 365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5C27EF" w:rsidRDefault="005C27EF" w:rsidP="005024EF">
            <w:pPr>
              <w:spacing w:line="228" w:lineRule="auto"/>
              <w:jc w:val="center"/>
            </w:pPr>
            <w:r w:rsidRPr="005C27EF">
              <w:t>110,4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ind w:left="181"/>
            </w:pPr>
            <w:r w:rsidRPr="005024EF">
              <w:t>реальная, %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proofErr w:type="spellStart"/>
            <w:r w:rsidRPr="005024EF">
              <w:rPr>
                <w:bCs/>
              </w:rPr>
              <w:t>х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5024EF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92,1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5C27EF" w:rsidRDefault="00FD1DE2" w:rsidP="005024EF">
            <w:pPr>
              <w:spacing w:line="228" w:lineRule="auto"/>
              <w:jc w:val="center"/>
            </w:pPr>
            <w:proofErr w:type="spellStart"/>
            <w:r w:rsidRPr="005C27EF">
              <w:t>х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5C27EF" w:rsidRDefault="005C27EF" w:rsidP="005024EF">
            <w:pPr>
              <w:spacing w:line="228" w:lineRule="auto"/>
              <w:jc w:val="center"/>
            </w:pPr>
            <w:r w:rsidRPr="005C27EF">
              <w:t>97,0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>Денежные доходы на душу населения, рублей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29</w:t>
            </w:r>
            <w:r w:rsidR="005024EF" w:rsidRPr="005024EF">
              <w:rPr>
                <w:bCs/>
              </w:rPr>
              <w:t xml:space="preserve"> 502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5024EF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110,2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67 193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103,3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AE1C7C">
            <w:pPr>
              <w:spacing w:line="228" w:lineRule="auto"/>
            </w:pPr>
            <w:r w:rsidRPr="005024EF">
              <w:t xml:space="preserve">Реальные располагаемые доходы населения, % 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proofErr w:type="spellStart"/>
            <w:r w:rsidRPr="005024EF">
              <w:rPr>
                <w:bCs/>
              </w:rPr>
              <w:t>х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AE1C7C" w:rsidP="005024EF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94,8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</w:pPr>
            <w:proofErr w:type="spellStart"/>
            <w:r w:rsidRPr="00AE1C7C">
              <w:t>х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>
              <w:t>91,6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 xml:space="preserve">Индекс потребительских </w:t>
            </w:r>
            <w:proofErr w:type="spellStart"/>
            <w:r w:rsidRPr="005024EF">
              <w:t>цен,%</w:t>
            </w:r>
            <w:proofErr w:type="spellEnd"/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proofErr w:type="spellStart"/>
            <w:r w:rsidRPr="005024EF">
              <w:rPr>
                <w:bCs/>
              </w:rPr>
              <w:t>х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5024EF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116,9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</w:pPr>
            <w:proofErr w:type="spellStart"/>
            <w:r w:rsidRPr="00AE1C7C">
              <w:t>х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FD1DE2" w:rsidP="00AE1C7C">
            <w:pPr>
              <w:spacing w:line="228" w:lineRule="auto"/>
              <w:jc w:val="center"/>
            </w:pPr>
            <w:r w:rsidRPr="00AE1C7C">
              <w:t>113,</w:t>
            </w:r>
            <w:r w:rsidR="00AE1C7C" w:rsidRPr="00AE1C7C">
              <w:t>9</w:t>
            </w:r>
          </w:p>
        </w:tc>
      </w:tr>
      <w:tr w:rsidR="006A574F" w:rsidRPr="005024EF" w:rsidTr="001B29ED">
        <w:tc>
          <w:tcPr>
            <w:tcW w:w="3549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ind w:left="181"/>
            </w:pPr>
            <w:r w:rsidRPr="005024EF">
              <w:t xml:space="preserve">то же – </w:t>
            </w:r>
            <w:r w:rsidR="005024EF" w:rsidRPr="005024EF">
              <w:t>август</w:t>
            </w:r>
            <w:r w:rsidRPr="005024EF">
              <w:t xml:space="preserve"> 2015 г. </w:t>
            </w:r>
            <w:r w:rsidR="005024EF">
              <w:br/>
            </w:r>
            <w:r w:rsidRPr="005024EF">
              <w:t>к декабрю 2014 г.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proofErr w:type="spellStart"/>
            <w:r w:rsidRPr="005024EF">
              <w:rPr>
                <w:bCs/>
              </w:rPr>
              <w:t>х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D1DE2" w:rsidRPr="005024EF" w:rsidRDefault="005024EF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108,9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</w:pPr>
            <w:proofErr w:type="spellStart"/>
            <w:r w:rsidRPr="00AE1C7C">
              <w:t>х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110,1</w:t>
            </w:r>
          </w:p>
        </w:tc>
      </w:tr>
      <w:tr w:rsidR="006A574F" w:rsidRPr="005024EF" w:rsidTr="001B29ED">
        <w:tc>
          <w:tcPr>
            <w:tcW w:w="354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</w:pPr>
            <w:r w:rsidRPr="005024EF">
              <w:t>Индекс цен производителей промышленных товаров, %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proofErr w:type="spellStart"/>
            <w:r w:rsidRPr="005024EF">
              <w:rPr>
                <w:bCs/>
              </w:rPr>
              <w:t>х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E2" w:rsidRPr="005024EF" w:rsidRDefault="00FD1DE2" w:rsidP="005024EF">
            <w:pPr>
              <w:spacing w:line="228" w:lineRule="auto"/>
              <w:jc w:val="center"/>
              <w:rPr>
                <w:bCs/>
              </w:rPr>
            </w:pPr>
            <w:r w:rsidRPr="005024EF">
              <w:rPr>
                <w:bCs/>
              </w:rPr>
              <w:t>118,</w:t>
            </w:r>
            <w:r w:rsidR="005024EF" w:rsidRPr="005024EF">
              <w:rPr>
                <w:bCs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E2" w:rsidRPr="00AE1C7C" w:rsidRDefault="00FD1DE2" w:rsidP="005024EF">
            <w:pPr>
              <w:spacing w:line="228" w:lineRule="auto"/>
              <w:jc w:val="center"/>
            </w:pPr>
            <w:proofErr w:type="spellStart"/>
            <w:r w:rsidRPr="00AE1C7C">
              <w:t>х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E2" w:rsidRPr="00AE1C7C" w:rsidRDefault="00AE1C7C" w:rsidP="005024EF">
            <w:pPr>
              <w:spacing w:line="228" w:lineRule="auto"/>
              <w:jc w:val="center"/>
            </w:pPr>
            <w:r w:rsidRPr="00AE1C7C">
              <w:t>111,5</w:t>
            </w:r>
          </w:p>
        </w:tc>
      </w:tr>
    </w:tbl>
    <w:p w:rsidR="00077D2C" w:rsidRPr="002B6989" w:rsidRDefault="00077D2C" w:rsidP="00077D2C">
      <w:pPr>
        <w:rPr>
          <w:highlight w:val="yellow"/>
        </w:rPr>
      </w:pPr>
    </w:p>
    <w:p w:rsidR="00820844" w:rsidRPr="001A369A" w:rsidRDefault="00820844" w:rsidP="000A65B7">
      <w:pPr>
        <w:pStyle w:val="1"/>
        <w:pageBreakBefore/>
        <w:spacing w:before="0" w:after="0"/>
        <w:rPr>
          <w:szCs w:val="26"/>
        </w:rPr>
      </w:pPr>
      <w:r w:rsidRPr="001A369A">
        <w:rPr>
          <w:szCs w:val="26"/>
        </w:rPr>
        <w:lastRenderedPageBreak/>
        <w:t>Демографические показатели</w:t>
      </w:r>
      <w:r w:rsidR="008C0FF0">
        <w:rPr>
          <w:szCs w:val="26"/>
        </w:rPr>
        <w:t>.</w:t>
      </w:r>
      <w:r w:rsidRPr="001A369A">
        <w:rPr>
          <w:szCs w:val="26"/>
        </w:rPr>
        <w:t xml:space="preserve"> </w:t>
      </w:r>
    </w:p>
    <w:p w:rsidR="00F66A6F" w:rsidRPr="001A369A" w:rsidRDefault="00F66A6F" w:rsidP="001A369A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 w:rsidRPr="001A369A">
        <w:rPr>
          <w:sz w:val="26"/>
          <w:szCs w:val="26"/>
        </w:rPr>
        <w:t>Среднегодовая численность населения в 2014 году составила 1 144,4 тыс. человек, из которых 880,6 тысяч человек (76,9%) – горожане, и 263,8 тысяч человек (23,1%) – сельские жители.</w:t>
      </w:r>
    </w:p>
    <w:p w:rsidR="00F66A6F" w:rsidRPr="001A369A" w:rsidRDefault="00F66A6F" w:rsidP="00D94221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 w:rsidRPr="001A369A">
        <w:rPr>
          <w:sz w:val="26"/>
          <w:szCs w:val="26"/>
        </w:rPr>
        <w:t>Коэффициент естественной убыли в 2014 году составил -0,9 на 1</w:t>
      </w:r>
      <w:r w:rsidR="001A369A">
        <w:rPr>
          <w:sz w:val="26"/>
          <w:szCs w:val="26"/>
        </w:rPr>
        <w:t> </w:t>
      </w:r>
      <w:r w:rsidRPr="001A369A">
        <w:rPr>
          <w:sz w:val="26"/>
          <w:szCs w:val="26"/>
        </w:rPr>
        <w:t>000 человек населения, против -0,7 в 2013 году. Коэффициент миграционной убыли составил</w:t>
      </w:r>
      <w:r w:rsidRPr="001A369A">
        <w:rPr>
          <w:sz w:val="26"/>
          <w:szCs w:val="26"/>
        </w:rPr>
        <w:br/>
        <w:t>-68,2 на 10 тыс. населения (в 2013 году -84,9 на 10 тыс. населения).</w:t>
      </w:r>
    </w:p>
    <w:p w:rsidR="00F66A6F" w:rsidRPr="001A369A" w:rsidRDefault="00F66A6F" w:rsidP="00D94221">
      <w:pPr>
        <w:pStyle w:val="ConsPlusNormal"/>
        <w:widowControl/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369A">
        <w:rPr>
          <w:rFonts w:ascii="Times New Roman" w:hAnsi="Times New Roman"/>
          <w:sz w:val="26"/>
          <w:szCs w:val="26"/>
        </w:rPr>
        <w:t xml:space="preserve">Тенденция сокращения численности населения Архангельской области, начавшаяся с 1990 года, сохраняется в настоящее время и по прогнозу продолжится, вследствие превышения числа </w:t>
      </w:r>
      <w:proofErr w:type="gramStart"/>
      <w:r w:rsidRPr="001A369A">
        <w:rPr>
          <w:rFonts w:ascii="Times New Roman" w:hAnsi="Times New Roman"/>
          <w:sz w:val="26"/>
          <w:szCs w:val="26"/>
        </w:rPr>
        <w:t>умерших</w:t>
      </w:r>
      <w:proofErr w:type="gramEnd"/>
      <w:r w:rsidRPr="001A369A">
        <w:rPr>
          <w:rFonts w:ascii="Times New Roman" w:hAnsi="Times New Roman"/>
          <w:sz w:val="26"/>
          <w:szCs w:val="26"/>
        </w:rPr>
        <w:t xml:space="preserve"> над числом родившихся, а также миграционной убыли. </w:t>
      </w:r>
    </w:p>
    <w:p w:rsidR="007532CF" w:rsidRPr="001A369A" w:rsidRDefault="00F66A6F" w:rsidP="00D94221">
      <w:pPr>
        <w:spacing w:line="288" w:lineRule="auto"/>
        <w:ind w:firstLine="708"/>
        <w:jc w:val="both"/>
        <w:rPr>
          <w:bCs/>
          <w:color w:val="000000" w:themeColor="text1"/>
          <w:sz w:val="26"/>
          <w:szCs w:val="26"/>
        </w:rPr>
      </w:pPr>
      <w:r w:rsidRPr="001A369A">
        <w:rPr>
          <w:sz w:val="26"/>
          <w:szCs w:val="26"/>
        </w:rPr>
        <w:t>Возрастная структура населения области, с выраженной тенденцией старения населения, становится о</w:t>
      </w:r>
      <w:r w:rsidR="006D0132" w:rsidRPr="001A369A">
        <w:rPr>
          <w:sz w:val="26"/>
          <w:szCs w:val="26"/>
        </w:rPr>
        <w:t>сновным сдерживающим фактором</w:t>
      </w:r>
      <w:r w:rsidR="00762D1D" w:rsidRPr="001A369A">
        <w:rPr>
          <w:sz w:val="26"/>
          <w:szCs w:val="26"/>
        </w:rPr>
        <w:t xml:space="preserve"> демографического развития</w:t>
      </w:r>
      <w:r w:rsidRPr="001A369A">
        <w:rPr>
          <w:sz w:val="26"/>
          <w:szCs w:val="26"/>
        </w:rPr>
        <w:t xml:space="preserve">. </w:t>
      </w:r>
      <w:r w:rsidR="007532CF" w:rsidRPr="001A369A">
        <w:rPr>
          <w:spacing w:val="-2"/>
          <w:sz w:val="26"/>
          <w:szCs w:val="26"/>
        </w:rPr>
        <w:t xml:space="preserve">Прогноз Росстата по коэффициенту рождаемости </w:t>
      </w:r>
      <w:r w:rsidR="002529DB">
        <w:rPr>
          <w:spacing w:val="-2"/>
          <w:sz w:val="26"/>
          <w:szCs w:val="26"/>
        </w:rPr>
        <w:br/>
      </w:r>
      <w:r w:rsidR="007532CF" w:rsidRPr="001A369A">
        <w:rPr>
          <w:spacing w:val="-2"/>
          <w:sz w:val="26"/>
          <w:szCs w:val="26"/>
        </w:rPr>
        <w:t xml:space="preserve">в Архангельской области </w:t>
      </w:r>
      <w:r w:rsidR="006D0132" w:rsidRPr="001A369A">
        <w:rPr>
          <w:spacing w:val="-2"/>
          <w:sz w:val="26"/>
          <w:szCs w:val="26"/>
        </w:rPr>
        <w:t>с учетом</w:t>
      </w:r>
      <w:r w:rsidR="006D0132" w:rsidRPr="001A369A">
        <w:rPr>
          <w:bCs/>
          <w:color w:val="000000" w:themeColor="text1"/>
          <w:sz w:val="26"/>
          <w:szCs w:val="26"/>
        </w:rPr>
        <w:t xml:space="preserve"> сокращения числа женщин репродуктивного возраста</w:t>
      </w:r>
      <w:r w:rsidR="006D0132" w:rsidRPr="001A369A">
        <w:rPr>
          <w:spacing w:val="-2"/>
          <w:sz w:val="26"/>
          <w:szCs w:val="26"/>
        </w:rPr>
        <w:t xml:space="preserve"> </w:t>
      </w:r>
      <w:r w:rsidR="00762D1D" w:rsidRPr="001A369A">
        <w:rPr>
          <w:spacing w:val="-2"/>
          <w:sz w:val="26"/>
          <w:szCs w:val="26"/>
        </w:rPr>
        <w:t xml:space="preserve">к 2018 году </w:t>
      </w:r>
      <w:r w:rsidR="007532CF" w:rsidRPr="001A369A">
        <w:rPr>
          <w:spacing w:val="-2"/>
          <w:sz w:val="26"/>
          <w:szCs w:val="26"/>
        </w:rPr>
        <w:t xml:space="preserve">составляет 9,5 </w:t>
      </w:r>
      <w:r w:rsidR="00536A36">
        <w:rPr>
          <w:bCs/>
          <w:kern w:val="36"/>
          <w:sz w:val="26"/>
          <w:szCs w:val="26"/>
        </w:rPr>
        <w:t>(</w:t>
      </w:r>
      <w:r w:rsidR="00536A36" w:rsidRPr="00536A36">
        <w:rPr>
          <w:bCs/>
          <w:kern w:val="36"/>
          <w:sz w:val="26"/>
          <w:szCs w:val="26"/>
        </w:rPr>
        <w:t>числ</w:t>
      </w:r>
      <w:r w:rsidR="00536A36">
        <w:rPr>
          <w:bCs/>
          <w:kern w:val="36"/>
          <w:sz w:val="26"/>
          <w:szCs w:val="26"/>
        </w:rPr>
        <w:t>о</w:t>
      </w:r>
      <w:r w:rsidR="00536A36" w:rsidRPr="00536A36">
        <w:rPr>
          <w:bCs/>
          <w:kern w:val="36"/>
          <w:sz w:val="26"/>
          <w:szCs w:val="26"/>
        </w:rPr>
        <w:t xml:space="preserve"> родившихся </w:t>
      </w:r>
      <w:r w:rsidR="00536A36" w:rsidRPr="00536A36">
        <w:rPr>
          <w:spacing w:val="-2"/>
          <w:sz w:val="26"/>
          <w:szCs w:val="26"/>
        </w:rPr>
        <w:t>на 1 000 жителей</w:t>
      </w:r>
      <w:r w:rsidR="00536A36">
        <w:rPr>
          <w:spacing w:val="-2"/>
          <w:sz w:val="26"/>
          <w:szCs w:val="26"/>
        </w:rPr>
        <w:t>)</w:t>
      </w:r>
      <w:r w:rsidR="00536A36" w:rsidRPr="00536A36">
        <w:rPr>
          <w:bCs/>
          <w:kern w:val="36"/>
          <w:sz w:val="26"/>
          <w:szCs w:val="26"/>
        </w:rPr>
        <w:t>.</w:t>
      </w:r>
      <w:r w:rsidR="00536A36">
        <w:rPr>
          <w:bCs/>
          <w:kern w:val="36"/>
          <w:sz w:val="26"/>
          <w:szCs w:val="26"/>
        </w:rPr>
        <w:t xml:space="preserve"> </w:t>
      </w:r>
      <w:r w:rsidR="006D0132" w:rsidRPr="00536A36">
        <w:rPr>
          <w:spacing w:val="-2"/>
          <w:sz w:val="26"/>
          <w:szCs w:val="26"/>
        </w:rPr>
        <w:t xml:space="preserve">С учетом реализации </w:t>
      </w:r>
      <w:r w:rsidR="007532CF" w:rsidRPr="00536A36">
        <w:rPr>
          <w:bCs/>
          <w:color w:val="000000" w:themeColor="text1"/>
          <w:sz w:val="26"/>
          <w:szCs w:val="26"/>
        </w:rPr>
        <w:t>мероприятий</w:t>
      </w:r>
      <w:r w:rsidR="00762D1D" w:rsidRPr="00536A36">
        <w:rPr>
          <w:bCs/>
          <w:color w:val="000000" w:themeColor="text1"/>
          <w:sz w:val="26"/>
          <w:szCs w:val="26"/>
        </w:rPr>
        <w:t>, направленных на улучшение демографической ситуации и развитие здравоохранения в</w:t>
      </w:r>
      <w:r w:rsidR="007532CF" w:rsidRPr="00536A36">
        <w:rPr>
          <w:bCs/>
          <w:color w:val="000000" w:themeColor="text1"/>
          <w:sz w:val="26"/>
          <w:szCs w:val="26"/>
        </w:rPr>
        <w:t xml:space="preserve"> Архангельской области</w:t>
      </w:r>
      <w:r w:rsidR="006D0132" w:rsidRPr="00536A36">
        <w:rPr>
          <w:bCs/>
          <w:color w:val="000000" w:themeColor="text1"/>
          <w:sz w:val="26"/>
          <w:szCs w:val="26"/>
        </w:rPr>
        <w:t xml:space="preserve"> предполагается</w:t>
      </w:r>
      <w:r w:rsidR="007532CF" w:rsidRPr="00536A36">
        <w:rPr>
          <w:bCs/>
          <w:color w:val="000000" w:themeColor="text1"/>
          <w:sz w:val="26"/>
          <w:szCs w:val="26"/>
        </w:rPr>
        <w:t xml:space="preserve"> </w:t>
      </w:r>
      <w:r w:rsidR="006D0132" w:rsidRPr="00536A36">
        <w:rPr>
          <w:bCs/>
          <w:color w:val="000000" w:themeColor="text1"/>
          <w:sz w:val="26"/>
          <w:szCs w:val="26"/>
        </w:rPr>
        <w:t xml:space="preserve">к 2018 году </w:t>
      </w:r>
      <w:r w:rsidR="007532CF" w:rsidRPr="00536A36">
        <w:rPr>
          <w:bCs/>
          <w:color w:val="000000" w:themeColor="text1"/>
          <w:sz w:val="26"/>
          <w:szCs w:val="26"/>
        </w:rPr>
        <w:t>сохранить</w:t>
      </w:r>
      <w:r w:rsidR="006D0132" w:rsidRPr="00536A36">
        <w:rPr>
          <w:bCs/>
          <w:color w:val="000000" w:themeColor="text1"/>
          <w:sz w:val="26"/>
          <w:szCs w:val="26"/>
        </w:rPr>
        <w:t xml:space="preserve"> рождаемость </w:t>
      </w:r>
      <w:r w:rsidR="007532CF" w:rsidRPr="00536A36">
        <w:rPr>
          <w:bCs/>
          <w:kern w:val="36"/>
          <w:sz w:val="26"/>
          <w:szCs w:val="26"/>
        </w:rPr>
        <w:t>на уровне 11,6-11,9</w:t>
      </w:r>
      <w:r w:rsidR="00536A36" w:rsidRPr="00536A36">
        <w:rPr>
          <w:bCs/>
          <w:kern w:val="36"/>
          <w:sz w:val="26"/>
          <w:szCs w:val="26"/>
        </w:rPr>
        <w:t xml:space="preserve"> </w:t>
      </w:r>
      <w:r w:rsidR="00536A36">
        <w:rPr>
          <w:bCs/>
          <w:kern w:val="36"/>
          <w:sz w:val="26"/>
          <w:szCs w:val="26"/>
        </w:rPr>
        <w:t>(</w:t>
      </w:r>
      <w:r w:rsidR="00536A36" w:rsidRPr="00536A36">
        <w:rPr>
          <w:bCs/>
          <w:kern w:val="36"/>
          <w:sz w:val="26"/>
          <w:szCs w:val="26"/>
        </w:rPr>
        <w:t>числ</w:t>
      </w:r>
      <w:r w:rsidR="00536A36">
        <w:rPr>
          <w:bCs/>
          <w:kern w:val="36"/>
          <w:sz w:val="26"/>
          <w:szCs w:val="26"/>
        </w:rPr>
        <w:t>о</w:t>
      </w:r>
      <w:r w:rsidR="00536A36" w:rsidRPr="00536A36">
        <w:rPr>
          <w:bCs/>
          <w:kern w:val="36"/>
          <w:sz w:val="26"/>
          <w:szCs w:val="26"/>
        </w:rPr>
        <w:t xml:space="preserve"> родившихся</w:t>
      </w:r>
      <w:r w:rsidR="007532CF" w:rsidRPr="00536A36">
        <w:rPr>
          <w:bCs/>
          <w:kern w:val="36"/>
          <w:sz w:val="26"/>
          <w:szCs w:val="26"/>
        </w:rPr>
        <w:t xml:space="preserve"> </w:t>
      </w:r>
      <w:r w:rsidR="006D0132" w:rsidRPr="00536A36">
        <w:rPr>
          <w:spacing w:val="-2"/>
          <w:sz w:val="26"/>
          <w:szCs w:val="26"/>
        </w:rPr>
        <w:t>на 1</w:t>
      </w:r>
      <w:r w:rsidR="002529DB" w:rsidRPr="00536A36">
        <w:rPr>
          <w:spacing w:val="-2"/>
          <w:sz w:val="26"/>
          <w:szCs w:val="26"/>
        </w:rPr>
        <w:t> </w:t>
      </w:r>
      <w:r w:rsidR="006D0132" w:rsidRPr="00536A36">
        <w:rPr>
          <w:spacing w:val="-2"/>
          <w:sz w:val="26"/>
          <w:szCs w:val="26"/>
        </w:rPr>
        <w:t>000 жителей</w:t>
      </w:r>
      <w:r w:rsidR="00536A36">
        <w:rPr>
          <w:spacing w:val="-2"/>
          <w:sz w:val="26"/>
          <w:szCs w:val="26"/>
        </w:rPr>
        <w:t>)</w:t>
      </w:r>
      <w:r w:rsidR="006D0132" w:rsidRPr="00536A36">
        <w:rPr>
          <w:bCs/>
          <w:kern w:val="36"/>
          <w:sz w:val="26"/>
          <w:szCs w:val="26"/>
        </w:rPr>
        <w:t>.</w:t>
      </w:r>
    </w:p>
    <w:p w:rsidR="00536A36" w:rsidRDefault="007532CF" w:rsidP="00D94221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A369A">
        <w:rPr>
          <w:rFonts w:ascii="Times New Roman" w:hAnsi="Times New Roman" w:cs="Times New Roman"/>
          <w:spacing w:val="-2"/>
          <w:sz w:val="26"/>
          <w:szCs w:val="26"/>
        </w:rPr>
        <w:t>Коэ</w:t>
      </w:r>
      <w:r w:rsidR="00F66A6F" w:rsidRPr="001A369A">
        <w:rPr>
          <w:rFonts w:ascii="Times New Roman" w:hAnsi="Times New Roman" w:cs="Times New Roman"/>
          <w:spacing w:val="-2"/>
          <w:sz w:val="26"/>
          <w:szCs w:val="26"/>
        </w:rPr>
        <w:t xml:space="preserve">ффициент смертности </w:t>
      </w:r>
      <w:r w:rsidRPr="001A369A">
        <w:rPr>
          <w:rFonts w:ascii="Times New Roman" w:hAnsi="Times New Roman" w:cs="Times New Roman"/>
          <w:spacing w:val="-2"/>
          <w:sz w:val="26"/>
          <w:szCs w:val="26"/>
        </w:rPr>
        <w:t>в 2018 году по прогнозу</w:t>
      </w:r>
      <w:r w:rsidR="00D94221" w:rsidRPr="001A369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66A6F" w:rsidRPr="001A369A">
        <w:rPr>
          <w:rFonts w:ascii="Times New Roman" w:hAnsi="Times New Roman" w:cs="Times New Roman"/>
          <w:spacing w:val="-2"/>
          <w:sz w:val="26"/>
          <w:szCs w:val="26"/>
        </w:rPr>
        <w:t>составит 13,</w:t>
      </w:r>
      <w:r w:rsidR="00B14FB7" w:rsidRPr="001A369A">
        <w:rPr>
          <w:rFonts w:ascii="Times New Roman" w:hAnsi="Times New Roman" w:cs="Times New Roman"/>
          <w:spacing w:val="-2"/>
          <w:sz w:val="26"/>
          <w:szCs w:val="26"/>
        </w:rPr>
        <w:t>7</w:t>
      </w:r>
      <w:r w:rsidR="00F66A6F" w:rsidRPr="001A369A">
        <w:rPr>
          <w:rFonts w:ascii="Times New Roman" w:hAnsi="Times New Roman" w:cs="Times New Roman"/>
          <w:spacing w:val="-2"/>
          <w:sz w:val="26"/>
          <w:szCs w:val="26"/>
        </w:rPr>
        <w:t>-13,</w:t>
      </w:r>
      <w:r w:rsidR="00B14FB7" w:rsidRPr="001A369A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F66A6F" w:rsidRPr="001A369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36A36">
        <w:rPr>
          <w:rFonts w:ascii="Times New Roman" w:hAnsi="Times New Roman" w:cs="Times New Roman"/>
          <w:spacing w:val="-2"/>
          <w:sz w:val="26"/>
          <w:szCs w:val="26"/>
        </w:rPr>
        <w:br/>
        <w:t xml:space="preserve">(число умерших </w:t>
      </w:r>
      <w:r w:rsidR="00F66A6F" w:rsidRPr="001A369A">
        <w:rPr>
          <w:rFonts w:ascii="Times New Roman" w:hAnsi="Times New Roman" w:cs="Times New Roman"/>
          <w:spacing w:val="-2"/>
          <w:sz w:val="26"/>
          <w:szCs w:val="26"/>
        </w:rPr>
        <w:t>на 1</w:t>
      </w:r>
      <w:r w:rsidR="001A369A">
        <w:rPr>
          <w:rFonts w:ascii="Times New Roman" w:hAnsi="Times New Roman" w:cs="Times New Roman"/>
          <w:spacing w:val="-2"/>
          <w:sz w:val="26"/>
          <w:szCs w:val="26"/>
        </w:rPr>
        <w:t> </w:t>
      </w:r>
      <w:r w:rsidR="00F66A6F" w:rsidRPr="001A369A">
        <w:rPr>
          <w:rFonts w:ascii="Times New Roman" w:hAnsi="Times New Roman" w:cs="Times New Roman"/>
          <w:spacing w:val="-2"/>
          <w:sz w:val="26"/>
          <w:szCs w:val="26"/>
        </w:rPr>
        <w:t>000 жителей</w:t>
      </w:r>
      <w:r w:rsidR="00536A36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F66A6F" w:rsidRPr="001A369A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</w:p>
    <w:p w:rsidR="00B14FB7" w:rsidRPr="001A369A" w:rsidRDefault="00F66A6F" w:rsidP="00D94221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369A">
        <w:rPr>
          <w:rFonts w:ascii="Times New Roman" w:hAnsi="Times New Roman" w:cs="Times New Roman"/>
          <w:sz w:val="26"/>
          <w:szCs w:val="26"/>
        </w:rPr>
        <w:t xml:space="preserve">Прогнозируется постепенное сокращение </w:t>
      </w:r>
      <w:r w:rsidR="00D94221" w:rsidRPr="001A369A">
        <w:rPr>
          <w:rFonts w:ascii="Times New Roman" w:hAnsi="Times New Roman" w:cs="Times New Roman"/>
          <w:sz w:val="26"/>
          <w:szCs w:val="26"/>
        </w:rPr>
        <w:t>отрицательного сальдо миграции:</w:t>
      </w:r>
      <w:r w:rsidR="00BF15AC" w:rsidRPr="001A369A">
        <w:rPr>
          <w:rFonts w:ascii="Times New Roman" w:hAnsi="Times New Roman" w:cs="Times New Roman"/>
          <w:sz w:val="26"/>
          <w:szCs w:val="26"/>
        </w:rPr>
        <w:t xml:space="preserve"> </w:t>
      </w:r>
      <w:r w:rsidR="00536A36">
        <w:rPr>
          <w:rFonts w:ascii="Times New Roman" w:hAnsi="Times New Roman" w:cs="Times New Roman"/>
          <w:sz w:val="26"/>
          <w:szCs w:val="26"/>
        </w:rPr>
        <w:br/>
      </w:r>
      <w:r w:rsidRPr="001A369A">
        <w:rPr>
          <w:rFonts w:ascii="Times New Roman" w:hAnsi="Times New Roman" w:cs="Times New Roman"/>
          <w:sz w:val="26"/>
          <w:szCs w:val="26"/>
        </w:rPr>
        <w:t xml:space="preserve">с 7,9 тыс. человек, ожидаемых в 2015 году, до 6,9-6,8 тыс. человек в 2018 году. </w:t>
      </w:r>
      <w:r w:rsidR="00536A36">
        <w:rPr>
          <w:rFonts w:ascii="Times New Roman" w:hAnsi="Times New Roman" w:cs="Times New Roman"/>
          <w:sz w:val="26"/>
          <w:szCs w:val="26"/>
        </w:rPr>
        <w:br/>
      </w:r>
      <w:r w:rsidR="00B14FB7" w:rsidRPr="001A369A">
        <w:rPr>
          <w:rFonts w:ascii="Times New Roman" w:hAnsi="Times New Roman" w:cs="Times New Roman"/>
          <w:sz w:val="26"/>
          <w:szCs w:val="26"/>
        </w:rPr>
        <w:t xml:space="preserve">При этом под влиянием процессов урбанизации более быстрыми темпами </w:t>
      </w:r>
      <w:r w:rsidR="007532CF" w:rsidRPr="001A369A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9D3ECD">
        <w:rPr>
          <w:rFonts w:ascii="Times New Roman" w:hAnsi="Times New Roman" w:cs="Times New Roman"/>
          <w:sz w:val="26"/>
          <w:szCs w:val="26"/>
        </w:rPr>
        <w:br/>
      </w:r>
      <w:r w:rsidR="007532CF" w:rsidRPr="001A369A">
        <w:rPr>
          <w:rFonts w:ascii="Times New Roman" w:hAnsi="Times New Roman" w:cs="Times New Roman"/>
          <w:sz w:val="26"/>
          <w:szCs w:val="26"/>
        </w:rPr>
        <w:t xml:space="preserve">по-прежнему </w:t>
      </w:r>
      <w:r w:rsidR="00B14FB7" w:rsidRPr="001A369A">
        <w:rPr>
          <w:rFonts w:ascii="Times New Roman" w:hAnsi="Times New Roman" w:cs="Times New Roman"/>
          <w:sz w:val="26"/>
          <w:szCs w:val="26"/>
        </w:rPr>
        <w:t>сокращат</w:t>
      </w:r>
      <w:r w:rsidR="007532CF" w:rsidRPr="001A369A">
        <w:rPr>
          <w:rFonts w:ascii="Times New Roman" w:hAnsi="Times New Roman" w:cs="Times New Roman"/>
          <w:sz w:val="26"/>
          <w:szCs w:val="26"/>
        </w:rPr>
        <w:t>ь</w:t>
      </w:r>
      <w:r w:rsidR="00B14FB7" w:rsidRPr="001A369A">
        <w:rPr>
          <w:rFonts w:ascii="Times New Roman" w:hAnsi="Times New Roman" w:cs="Times New Roman"/>
          <w:sz w:val="26"/>
          <w:szCs w:val="26"/>
        </w:rPr>
        <w:t>ся численность сельских жителей.</w:t>
      </w:r>
    </w:p>
    <w:p w:rsidR="00F66A6F" w:rsidRPr="001A369A" w:rsidRDefault="00F66A6F" w:rsidP="001F2CA8">
      <w:pPr>
        <w:spacing w:line="288" w:lineRule="auto"/>
        <w:ind w:firstLine="709"/>
        <w:jc w:val="both"/>
        <w:rPr>
          <w:sz w:val="26"/>
          <w:szCs w:val="26"/>
        </w:rPr>
      </w:pPr>
      <w:r w:rsidRPr="001A369A">
        <w:rPr>
          <w:sz w:val="26"/>
          <w:szCs w:val="26"/>
        </w:rPr>
        <w:t>Таким образом, прогноз численности постоянного населения на 201</w:t>
      </w:r>
      <w:r w:rsidR="00B14FB7" w:rsidRPr="001A369A">
        <w:rPr>
          <w:sz w:val="26"/>
          <w:szCs w:val="26"/>
        </w:rPr>
        <w:t>6</w:t>
      </w:r>
      <w:r w:rsidRPr="001A369A">
        <w:rPr>
          <w:sz w:val="26"/>
          <w:szCs w:val="26"/>
        </w:rPr>
        <w:t>-201</w:t>
      </w:r>
      <w:r w:rsidR="00B14FB7" w:rsidRPr="001A369A">
        <w:rPr>
          <w:sz w:val="26"/>
          <w:szCs w:val="26"/>
        </w:rPr>
        <w:t>8</w:t>
      </w:r>
      <w:r w:rsidRPr="001A369A">
        <w:rPr>
          <w:sz w:val="26"/>
          <w:szCs w:val="26"/>
        </w:rPr>
        <w:t xml:space="preserve"> годы предполагает, что численность населения Архангельской области будет ежего</w:t>
      </w:r>
      <w:r w:rsidR="001F2CA8">
        <w:rPr>
          <w:sz w:val="26"/>
          <w:szCs w:val="26"/>
        </w:rPr>
        <w:t xml:space="preserve">дно уменьшаться на 0,8%. </w:t>
      </w:r>
      <w:r w:rsidRPr="001A369A">
        <w:rPr>
          <w:sz w:val="26"/>
          <w:szCs w:val="26"/>
        </w:rPr>
        <w:t>Среднегодовая численность населения Архангельской области в 2016 году составит 1 125,</w:t>
      </w:r>
      <w:r w:rsidR="00B14FB7" w:rsidRPr="001A369A">
        <w:rPr>
          <w:sz w:val="26"/>
          <w:szCs w:val="26"/>
        </w:rPr>
        <w:t>8</w:t>
      </w:r>
      <w:r w:rsidRPr="001A369A">
        <w:rPr>
          <w:sz w:val="26"/>
          <w:szCs w:val="26"/>
        </w:rPr>
        <w:t xml:space="preserve"> – 1</w:t>
      </w:r>
      <w:r w:rsidR="002B61E0">
        <w:rPr>
          <w:sz w:val="26"/>
          <w:szCs w:val="26"/>
          <w:lang w:val="en-US"/>
        </w:rPr>
        <w:t> </w:t>
      </w:r>
      <w:r w:rsidRPr="001A369A">
        <w:rPr>
          <w:sz w:val="26"/>
          <w:szCs w:val="26"/>
        </w:rPr>
        <w:t>12</w:t>
      </w:r>
      <w:r w:rsidR="00B14FB7" w:rsidRPr="001A369A">
        <w:rPr>
          <w:sz w:val="26"/>
          <w:szCs w:val="26"/>
        </w:rPr>
        <w:t>6,1</w:t>
      </w:r>
      <w:r w:rsidRPr="001A369A">
        <w:rPr>
          <w:sz w:val="26"/>
          <w:szCs w:val="26"/>
        </w:rPr>
        <w:t xml:space="preserve"> тыс. человек, </w:t>
      </w:r>
      <w:r w:rsidR="001F2CA8">
        <w:rPr>
          <w:sz w:val="26"/>
          <w:szCs w:val="26"/>
        </w:rPr>
        <w:br/>
      </w:r>
      <w:r w:rsidRPr="001A369A">
        <w:rPr>
          <w:sz w:val="26"/>
          <w:szCs w:val="26"/>
        </w:rPr>
        <w:t>в 2018 году сократится до 1</w:t>
      </w:r>
      <w:r w:rsidR="00B14FB7" w:rsidRPr="001A369A">
        <w:rPr>
          <w:sz w:val="26"/>
          <w:szCs w:val="26"/>
        </w:rPr>
        <w:t> </w:t>
      </w:r>
      <w:r w:rsidRPr="001A369A">
        <w:rPr>
          <w:sz w:val="26"/>
          <w:szCs w:val="26"/>
        </w:rPr>
        <w:t>10</w:t>
      </w:r>
      <w:r w:rsidR="00B14FB7" w:rsidRPr="001A369A">
        <w:rPr>
          <w:sz w:val="26"/>
          <w:szCs w:val="26"/>
        </w:rPr>
        <w:t>7,44</w:t>
      </w:r>
      <w:r w:rsidRPr="001A369A">
        <w:rPr>
          <w:sz w:val="26"/>
          <w:szCs w:val="26"/>
        </w:rPr>
        <w:t xml:space="preserve"> - 1</w:t>
      </w:r>
      <w:r w:rsidR="00B14FB7" w:rsidRPr="001A369A">
        <w:rPr>
          <w:sz w:val="26"/>
          <w:szCs w:val="26"/>
        </w:rPr>
        <w:t> </w:t>
      </w:r>
      <w:r w:rsidRPr="001A369A">
        <w:rPr>
          <w:sz w:val="26"/>
          <w:szCs w:val="26"/>
        </w:rPr>
        <w:t>10</w:t>
      </w:r>
      <w:r w:rsidR="00B14FB7" w:rsidRPr="001A369A">
        <w:rPr>
          <w:sz w:val="26"/>
          <w:szCs w:val="26"/>
        </w:rPr>
        <w:t>9,06</w:t>
      </w:r>
      <w:r w:rsidRPr="001A369A">
        <w:rPr>
          <w:sz w:val="26"/>
          <w:szCs w:val="26"/>
        </w:rPr>
        <w:t xml:space="preserve"> тыс. человек. </w:t>
      </w:r>
    </w:p>
    <w:p w:rsidR="00F66A6F" w:rsidRPr="001A369A" w:rsidRDefault="00F66A6F" w:rsidP="00D94221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369A">
        <w:rPr>
          <w:rFonts w:ascii="Times New Roman" w:hAnsi="Times New Roman" w:cs="Times New Roman"/>
          <w:sz w:val="26"/>
          <w:szCs w:val="26"/>
        </w:rPr>
        <w:t>Положительная динамика продолжительности предстоящей жизни в прогнозируемом периоде сохранится и возрастет до 70,7</w:t>
      </w:r>
      <w:r w:rsidR="00B14FB7" w:rsidRPr="001A369A">
        <w:rPr>
          <w:rFonts w:ascii="Times New Roman" w:hAnsi="Times New Roman" w:cs="Times New Roman"/>
          <w:sz w:val="26"/>
          <w:szCs w:val="26"/>
        </w:rPr>
        <w:t>5</w:t>
      </w:r>
      <w:r w:rsidRPr="001A369A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B14FB7" w:rsidRPr="001A369A" w:rsidRDefault="00B14FB7" w:rsidP="00D94221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1A369A">
        <w:rPr>
          <w:color w:val="000000"/>
          <w:sz w:val="26"/>
          <w:szCs w:val="26"/>
        </w:rPr>
        <w:t xml:space="preserve">Продолжится процесс урбанизации: доля городских жителей увеличится </w:t>
      </w:r>
      <w:r w:rsidR="002529DB">
        <w:rPr>
          <w:color w:val="000000"/>
          <w:sz w:val="26"/>
          <w:szCs w:val="26"/>
        </w:rPr>
        <w:br/>
      </w:r>
      <w:r w:rsidRPr="001A369A">
        <w:rPr>
          <w:color w:val="000000"/>
          <w:sz w:val="26"/>
          <w:szCs w:val="26"/>
        </w:rPr>
        <w:t>к 201</w:t>
      </w:r>
      <w:r w:rsidR="005D3577">
        <w:rPr>
          <w:color w:val="000000"/>
          <w:sz w:val="26"/>
          <w:szCs w:val="26"/>
        </w:rPr>
        <w:t>8</w:t>
      </w:r>
      <w:r w:rsidRPr="001A369A">
        <w:rPr>
          <w:color w:val="000000"/>
          <w:sz w:val="26"/>
          <w:szCs w:val="26"/>
        </w:rPr>
        <w:t xml:space="preserve"> году до 77,6% против 77,3</w:t>
      </w:r>
      <w:r w:rsidR="002B61E0" w:rsidRPr="002B61E0">
        <w:rPr>
          <w:color w:val="000000"/>
          <w:sz w:val="26"/>
          <w:szCs w:val="26"/>
        </w:rPr>
        <w:t>%</w:t>
      </w:r>
      <w:r w:rsidRPr="001A369A">
        <w:rPr>
          <w:color w:val="000000"/>
          <w:sz w:val="26"/>
          <w:szCs w:val="26"/>
        </w:rPr>
        <w:t xml:space="preserve"> в 2014 году. </w:t>
      </w:r>
    </w:p>
    <w:p w:rsidR="002529DB" w:rsidRPr="002529DB" w:rsidRDefault="00FC7B3C" w:rsidP="002529DB">
      <w:pPr>
        <w:spacing w:line="288" w:lineRule="auto"/>
        <w:ind w:firstLine="709"/>
        <w:jc w:val="both"/>
        <w:rPr>
          <w:sz w:val="26"/>
          <w:szCs w:val="26"/>
        </w:rPr>
      </w:pPr>
      <w:r w:rsidRPr="001A369A">
        <w:rPr>
          <w:sz w:val="26"/>
          <w:szCs w:val="26"/>
        </w:rPr>
        <w:t>Численность населения области за январь-</w:t>
      </w:r>
      <w:r w:rsidR="0087400E" w:rsidRPr="001A369A">
        <w:rPr>
          <w:sz w:val="26"/>
          <w:szCs w:val="26"/>
        </w:rPr>
        <w:t xml:space="preserve">август </w:t>
      </w:r>
      <w:r w:rsidRPr="001A369A">
        <w:rPr>
          <w:sz w:val="26"/>
          <w:szCs w:val="26"/>
        </w:rPr>
        <w:t>201</w:t>
      </w:r>
      <w:r w:rsidR="0090706B" w:rsidRPr="001A369A">
        <w:rPr>
          <w:sz w:val="26"/>
          <w:szCs w:val="26"/>
        </w:rPr>
        <w:t>5</w:t>
      </w:r>
      <w:r w:rsidRPr="001A369A">
        <w:rPr>
          <w:sz w:val="26"/>
          <w:szCs w:val="26"/>
        </w:rPr>
        <w:t xml:space="preserve"> года уменьшилась </w:t>
      </w:r>
      <w:r w:rsidR="001B29ED">
        <w:rPr>
          <w:sz w:val="26"/>
          <w:szCs w:val="26"/>
        </w:rPr>
        <w:br/>
      </w:r>
      <w:r w:rsidRPr="001A369A">
        <w:rPr>
          <w:sz w:val="26"/>
          <w:szCs w:val="26"/>
        </w:rPr>
        <w:t xml:space="preserve">на </w:t>
      </w:r>
      <w:r w:rsidR="0087400E" w:rsidRPr="002529DB">
        <w:rPr>
          <w:sz w:val="26"/>
          <w:szCs w:val="26"/>
        </w:rPr>
        <w:t>5,6</w:t>
      </w:r>
      <w:r w:rsidRPr="002529DB">
        <w:rPr>
          <w:sz w:val="26"/>
          <w:szCs w:val="26"/>
        </w:rPr>
        <w:t xml:space="preserve"> тыс. человек</w:t>
      </w:r>
      <w:r w:rsidR="002B61E0">
        <w:rPr>
          <w:sz w:val="26"/>
          <w:szCs w:val="26"/>
        </w:rPr>
        <w:t>,</w:t>
      </w:r>
      <w:r w:rsidRPr="002529DB">
        <w:rPr>
          <w:sz w:val="26"/>
          <w:szCs w:val="26"/>
        </w:rPr>
        <w:t xml:space="preserve"> или на 0,</w:t>
      </w:r>
      <w:r w:rsidR="001A369A" w:rsidRPr="002529DB">
        <w:rPr>
          <w:sz w:val="26"/>
          <w:szCs w:val="26"/>
        </w:rPr>
        <w:t>5</w:t>
      </w:r>
      <w:r w:rsidRPr="002529DB">
        <w:rPr>
          <w:sz w:val="26"/>
          <w:szCs w:val="26"/>
        </w:rPr>
        <w:t>%. При этом наибольшую долю в общем сокращении составили миграционные перемещения (</w:t>
      </w:r>
      <w:r w:rsidR="001A369A" w:rsidRPr="002529DB">
        <w:rPr>
          <w:sz w:val="26"/>
          <w:szCs w:val="26"/>
        </w:rPr>
        <w:t>77,3</w:t>
      </w:r>
      <w:r w:rsidRPr="002529DB">
        <w:rPr>
          <w:sz w:val="26"/>
          <w:szCs w:val="26"/>
        </w:rPr>
        <w:t xml:space="preserve">%). </w:t>
      </w:r>
      <w:r w:rsidR="002529DB" w:rsidRPr="002529DB">
        <w:rPr>
          <w:spacing w:val="-2"/>
          <w:sz w:val="26"/>
          <w:szCs w:val="26"/>
        </w:rPr>
        <w:t xml:space="preserve">Естественная убыль составила </w:t>
      </w:r>
      <w:r w:rsidR="001B29ED">
        <w:rPr>
          <w:spacing w:val="-2"/>
          <w:sz w:val="26"/>
          <w:szCs w:val="26"/>
        </w:rPr>
        <w:br/>
      </w:r>
      <w:r w:rsidR="002529DB" w:rsidRPr="002529DB">
        <w:rPr>
          <w:spacing w:val="-2"/>
          <w:sz w:val="26"/>
          <w:szCs w:val="26"/>
        </w:rPr>
        <w:t>1 262 человека, миграционная – 4 292.</w:t>
      </w:r>
    </w:p>
    <w:p w:rsidR="00FC7B3C" w:rsidRPr="002529DB" w:rsidRDefault="00FC7B3C" w:rsidP="00D94221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6"/>
          <w:szCs w:val="26"/>
        </w:rPr>
      </w:pPr>
      <w:r w:rsidRPr="002529DB">
        <w:rPr>
          <w:b/>
          <w:i/>
          <w:color w:val="000000"/>
          <w:sz w:val="26"/>
          <w:szCs w:val="26"/>
        </w:rPr>
        <w:t>В Ненецком автономном округе</w:t>
      </w:r>
      <w:r w:rsidRPr="002529DB">
        <w:rPr>
          <w:color w:val="000000"/>
          <w:sz w:val="26"/>
          <w:szCs w:val="26"/>
        </w:rPr>
        <w:t xml:space="preserve"> численность населения имеет тенденцию </w:t>
      </w:r>
      <w:r w:rsidR="002529DB" w:rsidRPr="002529DB">
        <w:rPr>
          <w:color w:val="000000"/>
          <w:sz w:val="26"/>
          <w:szCs w:val="26"/>
        </w:rPr>
        <w:br/>
      </w:r>
      <w:r w:rsidRPr="002529DB">
        <w:rPr>
          <w:color w:val="000000"/>
          <w:sz w:val="26"/>
          <w:szCs w:val="26"/>
        </w:rPr>
        <w:t xml:space="preserve">к увеличению, за счет естественного и миграционного прироста. </w:t>
      </w:r>
      <w:r w:rsidRPr="002529DB">
        <w:rPr>
          <w:sz w:val="26"/>
          <w:szCs w:val="26"/>
        </w:rPr>
        <w:t xml:space="preserve">Наблюдается рост численности городского населения, эта тенденция сохранится в прогнозируемом </w:t>
      </w:r>
      <w:r w:rsidRPr="002529DB">
        <w:rPr>
          <w:sz w:val="26"/>
          <w:szCs w:val="26"/>
        </w:rPr>
        <w:lastRenderedPageBreak/>
        <w:t>периоде при одновременном сокращении ч</w:t>
      </w:r>
      <w:r w:rsidR="003A28A1" w:rsidRPr="002529DB">
        <w:rPr>
          <w:sz w:val="26"/>
          <w:szCs w:val="26"/>
        </w:rPr>
        <w:t>исленности сельского населения.</w:t>
      </w:r>
    </w:p>
    <w:p w:rsidR="003A28A1" w:rsidRPr="002529DB" w:rsidRDefault="003A28A1" w:rsidP="001F2CA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6"/>
          <w:szCs w:val="26"/>
        </w:rPr>
      </w:pPr>
      <w:r w:rsidRPr="002529DB">
        <w:rPr>
          <w:sz w:val="26"/>
          <w:szCs w:val="26"/>
        </w:rPr>
        <w:t>По прогнозу рождаемость будет превышать смертность, естественный прирост населения в 2015 году составит 5,9</w:t>
      </w:r>
      <w:r w:rsidR="005D3577">
        <w:rPr>
          <w:sz w:val="26"/>
          <w:szCs w:val="26"/>
        </w:rPr>
        <w:t xml:space="preserve"> </w:t>
      </w:r>
      <w:r w:rsidRPr="002529DB">
        <w:rPr>
          <w:sz w:val="26"/>
          <w:szCs w:val="26"/>
        </w:rPr>
        <w:t>человек на 1</w:t>
      </w:r>
      <w:r w:rsidR="002529DB" w:rsidRPr="002529DB">
        <w:rPr>
          <w:sz w:val="26"/>
          <w:szCs w:val="26"/>
        </w:rPr>
        <w:t> </w:t>
      </w:r>
      <w:r w:rsidRPr="002529DB">
        <w:rPr>
          <w:sz w:val="26"/>
          <w:szCs w:val="26"/>
        </w:rPr>
        <w:t>000 населения, в</w:t>
      </w:r>
      <w:r w:rsidR="002529DB" w:rsidRPr="002529DB">
        <w:rPr>
          <w:sz w:val="26"/>
          <w:szCs w:val="26"/>
        </w:rPr>
        <w:t> </w:t>
      </w:r>
      <w:r w:rsidRPr="002529DB">
        <w:rPr>
          <w:sz w:val="26"/>
          <w:szCs w:val="26"/>
        </w:rPr>
        <w:t>последующие годы такая тенденция сохранится. Прогнозируется положитель</w:t>
      </w:r>
      <w:r w:rsidR="001F2CA8">
        <w:rPr>
          <w:sz w:val="26"/>
          <w:szCs w:val="26"/>
        </w:rPr>
        <w:t xml:space="preserve">ное сальдо миграции населения. </w:t>
      </w:r>
      <w:r w:rsidRPr="002529DB">
        <w:rPr>
          <w:sz w:val="26"/>
          <w:szCs w:val="26"/>
        </w:rPr>
        <w:t xml:space="preserve">Среднегодовая численность населения Ненецкого автономного </w:t>
      </w:r>
      <w:r w:rsidR="00D3197C">
        <w:rPr>
          <w:sz w:val="26"/>
          <w:szCs w:val="26"/>
        </w:rPr>
        <w:t>округа в 2015 году составит 43,6</w:t>
      </w:r>
      <w:r w:rsidRPr="002529DB">
        <w:rPr>
          <w:sz w:val="26"/>
          <w:szCs w:val="26"/>
        </w:rPr>
        <w:t xml:space="preserve"> тыс. человек, прогнозируется увеличение к 2018 году до 44,5</w:t>
      </w:r>
      <w:r w:rsidR="005D3577">
        <w:rPr>
          <w:sz w:val="26"/>
          <w:szCs w:val="26"/>
        </w:rPr>
        <w:t xml:space="preserve"> </w:t>
      </w:r>
      <w:r w:rsidRPr="002529DB">
        <w:rPr>
          <w:sz w:val="26"/>
          <w:szCs w:val="26"/>
        </w:rPr>
        <w:t>тыс. человек.</w:t>
      </w:r>
    </w:p>
    <w:p w:rsidR="00BF15AC" w:rsidRPr="00015E7A" w:rsidRDefault="00BF15AC" w:rsidP="00D94221">
      <w:pPr>
        <w:spacing w:line="288" w:lineRule="auto"/>
        <w:ind w:firstLine="709"/>
        <w:jc w:val="both"/>
        <w:rPr>
          <w:sz w:val="26"/>
          <w:szCs w:val="26"/>
        </w:rPr>
      </w:pPr>
    </w:p>
    <w:p w:rsidR="00591376" w:rsidRPr="00015E7A" w:rsidRDefault="00591376" w:rsidP="00D94221">
      <w:pPr>
        <w:pStyle w:val="1"/>
        <w:spacing w:before="0" w:after="0"/>
        <w:rPr>
          <w:szCs w:val="26"/>
        </w:rPr>
      </w:pPr>
      <w:r w:rsidRPr="00015E7A">
        <w:rPr>
          <w:szCs w:val="26"/>
        </w:rPr>
        <w:t>Производство товаров и услуг</w:t>
      </w:r>
      <w:r w:rsidR="008C0FF0">
        <w:rPr>
          <w:szCs w:val="26"/>
        </w:rPr>
        <w:t>.</w:t>
      </w:r>
    </w:p>
    <w:p w:rsidR="00591376" w:rsidRPr="00015E7A" w:rsidRDefault="00591376" w:rsidP="00D94221">
      <w:pPr>
        <w:pStyle w:val="2"/>
        <w:spacing w:before="0" w:after="0" w:line="288" w:lineRule="auto"/>
        <w:rPr>
          <w:sz w:val="26"/>
        </w:rPr>
      </w:pPr>
      <w:r w:rsidRPr="00015E7A">
        <w:rPr>
          <w:sz w:val="26"/>
        </w:rPr>
        <w:t>Валовой региональный продукт</w:t>
      </w:r>
      <w:r w:rsidR="008C0FF0">
        <w:rPr>
          <w:sz w:val="26"/>
        </w:rPr>
        <w:t>.</w:t>
      </w:r>
    </w:p>
    <w:p w:rsidR="00FD1DE2" w:rsidRPr="001F2CA8" w:rsidRDefault="00FD1DE2" w:rsidP="00D94221">
      <w:pPr>
        <w:pStyle w:val="21"/>
        <w:spacing w:after="0" w:line="288" w:lineRule="auto"/>
        <w:ind w:firstLine="709"/>
        <w:jc w:val="both"/>
        <w:rPr>
          <w:bCs/>
          <w:spacing w:val="-4"/>
          <w:sz w:val="26"/>
          <w:szCs w:val="26"/>
        </w:rPr>
      </w:pPr>
      <w:proofErr w:type="gramStart"/>
      <w:r w:rsidRPr="001F2CA8">
        <w:rPr>
          <w:bCs/>
          <w:spacing w:val="-4"/>
          <w:sz w:val="26"/>
          <w:szCs w:val="26"/>
        </w:rPr>
        <w:t xml:space="preserve">Валовой региональный продукт (далее - ВРП) </w:t>
      </w:r>
      <w:r w:rsidR="00481DDA" w:rsidRPr="001F2CA8">
        <w:rPr>
          <w:bCs/>
          <w:spacing w:val="-4"/>
          <w:sz w:val="26"/>
          <w:szCs w:val="26"/>
        </w:rPr>
        <w:t xml:space="preserve">Архангельской области без учёта НАО </w:t>
      </w:r>
      <w:r w:rsidRPr="001F2CA8">
        <w:rPr>
          <w:bCs/>
          <w:spacing w:val="-4"/>
          <w:sz w:val="26"/>
          <w:szCs w:val="26"/>
        </w:rPr>
        <w:t xml:space="preserve">за 2014 год, исходя из уточнённых данных об объёмах производства ВРП </w:t>
      </w:r>
      <w:r w:rsidR="009D3ECD">
        <w:rPr>
          <w:bCs/>
          <w:spacing w:val="-4"/>
          <w:sz w:val="26"/>
          <w:szCs w:val="26"/>
        </w:rPr>
        <w:br/>
      </w:r>
      <w:r w:rsidRPr="001F2CA8">
        <w:rPr>
          <w:bCs/>
          <w:spacing w:val="-4"/>
          <w:sz w:val="26"/>
          <w:szCs w:val="26"/>
        </w:rPr>
        <w:t xml:space="preserve">за 2012 год и отчёта за 2013 год, предоставленных территориальным органом Федеральной службы государственной статистики </w:t>
      </w:r>
      <w:r w:rsidR="005D3577">
        <w:rPr>
          <w:bCs/>
          <w:spacing w:val="-4"/>
          <w:sz w:val="26"/>
          <w:szCs w:val="26"/>
        </w:rPr>
        <w:t xml:space="preserve">по Архангельской области </w:t>
      </w:r>
      <w:r w:rsidRPr="001F2CA8">
        <w:rPr>
          <w:bCs/>
          <w:spacing w:val="-4"/>
          <w:sz w:val="26"/>
          <w:szCs w:val="26"/>
        </w:rPr>
        <w:t xml:space="preserve">в марте 2015 года, составил, по расчётам, 342,4 млрд. рублей, индекс физического объёма </w:t>
      </w:r>
      <w:r w:rsidR="009D3ECD">
        <w:rPr>
          <w:bCs/>
          <w:spacing w:val="-4"/>
          <w:sz w:val="26"/>
          <w:szCs w:val="26"/>
        </w:rPr>
        <w:br/>
      </w:r>
      <w:r w:rsidRPr="001F2CA8">
        <w:rPr>
          <w:bCs/>
          <w:spacing w:val="-4"/>
          <w:sz w:val="26"/>
          <w:szCs w:val="26"/>
        </w:rPr>
        <w:t xml:space="preserve">к отчёту 2013 года – 94,0%. </w:t>
      </w:r>
      <w:proofErr w:type="gramEnd"/>
    </w:p>
    <w:p w:rsidR="00FD1DE2" w:rsidRDefault="00FD1DE2" w:rsidP="00D94221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015E7A">
        <w:rPr>
          <w:bCs/>
          <w:sz w:val="26"/>
          <w:szCs w:val="26"/>
        </w:rPr>
        <w:t xml:space="preserve">За 2015 год ВРП оценивается в </w:t>
      </w:r>
      <w:r w:rsidR="00015E7A" w:rsidRPr="00015E7A">
        <w:rPr>
          <w:bCs/>
          <w:sz w:val="26"/>
          <w:szCs w:val="26"/>
        </w:rPr>
        <w:t>401,1</w:t>
      </w:r>
      <w:r w:rsidRPr="00015E7A">
        <w:rPr>
          <w:bCs/>
          <w:sz w:val="26"/>
          <w:szCs w:val="26"/>
        </w:rPr>
        <w:t xml:space="preserve"> млрд. рублей, индекс физического объёма к оценке 2014 года – 98,</w:t>
      </w:r>
      <w:r w:rsidR="00015E7A" w:rsidRPr="00015E7A">
        <w:rPr>
          <w:bCs/>
          <w:sz w:val="26"/>
          <w:szCs w:val="26"/>
        </w:rPr>
        <w:t>6</w:t>
      </w:r>
      <w:r w:rsidRPr="00015E7A">
        <w:rPr>
          <w:bCs/>
          <w:sz w:val="26"/>
          <w:szCs w:val="26"/>
        </w:rPr>
        <w:t xml:space="preserve">%. Снижение индекса физического объёма ВРП обусловлено снижением инвестиционной и строительной деятельности, завершением ряда инвестиционных проектов, скачкообразной динамикой </w:t>
      </w:r>
      <w:r w:rsidRPr="004F1D18">
        <w:rPr>
          <w:bCs/>
          <w:sz w:val="26"/>
          <w:szCs w:val="26"/>
        </w:rPr>
        <w:t>производства в судостроении.</w:t>
      </w:r>
    </w:p>
    <w:p w:rsidR="001C3210" w:rsidRPr="001A6153" w:rsidRDefault="001C3210" w:rsidP="001C3210">
      <w:pPr>
        <w:pStyle w:val="3"/>
        <w:spacing w:before="0" w:after="0" w:line="288" w:lineRule="auto"/>
        <w:jc w:val="both"/>
        <w:rPr>
          <w:i w:val="0"/>
          <w:sz w:val="26"/>
          <w:szCs w:val="26"/>
        </w:rPr>
      </w:pPr>
      <w:r w:rsidRPr="001A6153">
        <w:rPr>
          <w:i w:val="0"/>
          <w:sz w:val="26"/>
          <w:szCs w:val="26"/>
        </w:rPr>
        <w:t>Валовой региональный продукт Ненецкого автономного округа.</w:t>
      </w:r>
    </w:p>
    <w:p w:rsidR="001C3210" w:rsidRPr="001C3210" w:rsidRDefault="001C3210" w:rsidP="001C3210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1C3210">
        <w:rPr>
          <w:bCs/>
          <w:sz w:val="26"/>
          <w:szCs w:val="26"/>
        </w:rPr>
        <w:t xml:space="preserve">Экономика региона носит </w:t>
      </w:r>
      <w:proofErr w:type="spellStart"/>
      <w:r w:rsidRPr="001C3210">
        <w:rPr>
          <w:bCs/>
          <w:sz w:val="26"/>
          <w:szCs w:val="26"/>
        </w:rPr>
        <w:t>монопрофильный</w:t>
      </w:r>
      <w:proofErr w:type="spellEnd"/>
      <w:r w:rsidRPr="001C3210">
        <w:rPr>
          <w:bCs/>
          <w:sz w:val="26"/>
          <w:szCs w:val="26"/>
        </w:rPr>
        <w:t xml:space="preserve"> характер, и основной прирост валового регионального продукта обеспечивает добыча нефти.</w:t>
      </w:r>
    </w:p>
    <w:p w:rsidR="001C3210" w:rsidRPr="001C3210" w:rsidRDefault="001C3210" w:rsidP="001C3210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1C3210">
        <w:rPr>
          <w:bCs/>
          <w:sz w:val="26"/>
          <w:szCs w:val="26"/>
        </w:rPr>
        <w:t>В 2015 году объём валового регионального продукта в Ненецком автономном округе по консервативному варианту прогноза, предусматривающему цену на нефть «</w:t>
      </w:r>
      <w:proofErr w:type="spellStart"/>
      <w:r w:rsidRPr="001C3210">
        <w:rPr>
          <w:bCs/>
          <w:sz w:val="26"/>
          <w:szCs w:val="26"/>
        </w:rPr>
        <w:t>Urals</w:t>
      </w:r>
      <w:proofErr w:type="spellEnd"/>
      <w:r w:rsidRPr="001C3210">
        <w:rPr>
          <w:bCs/>
          <w:sz w:val="26"/>
          <w:szCs w:val="26"/>
        </w:rPr>
        <w:t>» на уровне 50 долларов США за баррель, составит 177,7 м</w:t>
      </w:r>
      <w:r w:rsidR="005D3577">
        <w:rPr>
          <w:bCs/>
          <w:sz w:val="26"/>
          <w:szCs w:val="26"/>
        </w:rPr>
        <w:t>лрд.</w:t>
      </w:r>
      <w:r w:rsidRPr="001C3210">
        <w:rPr>
          <w:bCs/>
          <w:sz w:val="26"/>
          <w:szCs w:val="26"/>
        </w:rPr>
        <w:t xml:space="preserve"> рублей. </w:t>
      </w:r>
      <w:r w:rsidR="005D3577">
        <w:rPr>
          <w:bCs/>
          <w:sz w:val="26"/>
          <w:szCs w:val="26"/>
        </w:rPr>
        <w:br/>
      </w:r>
      <w:r w:rsidRPr="001C3210">
        <w:rPr>
          <w:bCs/>
          <w:sz w:val="26"/>
          <w:szCs w:val="26"/>
        </w:rPr>
        <w:t xml:space="preserve">А к 2018 году валовой региональный продукт возрастет до 205 </w:t>
      </w:r>
      <w:r w:rsidR="005D3577" w:rsidRPr="001C3210">
        <w:rPr>
          <w:bCs/>
          <w:sz w:val="26"/>
          <w:szCs w:val="26"/>
        </w:rPr>
        <w:t>м</w:t>
      </w:r>
      <w:r w:rsidR="005D3577">
        <w:rPr>
          <w:bCs/>
          <w:sz w:val="26"/>
          <w:szCs w:val="26"/>
        </w:rPr>
        <w:t>лрд.</w:t>
      </w:r>
      <w:r w:rsidR="005D3577" w:rsidRPr="001C3210">
        <w:rPr>
          <w:bCs/>
          <w:sz w:val="26"/>
          <w:szCs w:val="26"/>
        </w:rPr>
        <w:t xml:space="preserve"> </w:t>
      </w:r>
      <w:r w:rsidRPr="001C3210">
        <w:rPr>
          <w:bCs/>
          <w:sz w:val="26"/>
          <w:szCs w:val="26"/>
        </w:rPr>
        <w:t xml:space="preserve"> рублей.</w:t>
      </w:r>
    </w:p>
    <w:p w:rsidR="001C3210" w:rsidRPr="001C3210" w:rsidRDefault="001C3210" w:rsidP="001C3210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1C3210">
        <w:rPr>
          <w:bCs/>
          <w:sz w:val="26"/>
          <w:szCs w:val="26"/>
        </w:rPr>
        <w:t>Основной прирост валового регионального продукта обеспечивает добыча нефти. В 2016 году планируется наращивание добычи на месторождении им. Р. </w:t>
      </w:r>
      <w:proofErr w:type="spellStart"/>
      <w:r w:rsidRPr="001C3210">
        <w:rPr>
          <w:bCs/>
          <w:sz w:val="26"/>
          <w:szCs w:val="26"/>
        </w:rPr>
        <w:t>Требса</w:t>
      </w:r>
      <w:proofErr w:type="spellEnd"/>
      <w:r w:rsidRPr="001C3210">
        <w:rPr>
          <w:bCs/>
          <w:sz w:val="26"/>
          <w:szCs w:val="26"/>
        </w:rPr>
        <w:t>, ввода в промышленную эксплуатацию компанией ООО «</w:t>
      </w:r>
      <w:proofErr w:type="spellStart"/>
      <w:r w:rsidRPr="001C3210">
        <w:rPr>
          <w:bCs/>
          <w:sz w:val="26"/>
          <w:szCs w:val="26"/>
        </w:rPr>
        <w:t>Башнефть-Полюс</w:t>
      </w:r>
      <w:proofErr w:type="spellEnd"/>
      <w:r w:rsidRPr="001C3210">
        <w:rPr>
          <w:bCs/>
          <w:sz w:val="26"/>
          <w:szCs w:val="26"/>
        </w:rPr>
        <w:t xml:space="preserve">» месторождения им. А. Титова, </w:t>
      </w:r>
      <w:proofErr w:type="spellStart"/>
      <w:r w:rsidRPr="001C3210">
        <w:rPr>
          <w:bCs/>
          <w:sz w:val="26"/>
          <w:szCs w:val="26"/>
        </w:rPr>
        <w:t>Лабаганского</w:t>
      </w:r>
      <w:proofErr w:type="spellEnd"/>
      <w:r w:rsidRPr="001C3210">
        <w:rPr>
          <w:bCs/>
          <w:sz w:val="26"/>
          <w:szCs w:val="26"/>
        </w:rPr>
        <w:t xml:space="preserve"> и </w:t>
      </w:r>
      <w:proofErr w:type="spellStart"/>
      <w:r w:rsidRPr="001C3210">
        <w:rPr>
          <w:bCs/>
          <w:sz w:val="26"/>
          <w:szCs w:val="26"/>
        </w:rPr>
        <w:t>Наульского</w:t>
      </w:r>
      <w:proofErr w:type="spellEnd"/>
      <w:r w:rsidRPr="001C3210">
        <w:rPr>
          <w:bCs/>
          <w:sz w:val="26"/>
          <w:szCs w:val="26"/>
        </w:rPr>
        <w:t xml:space="preserve"> месторождений компанией «Роснефть».</w:t>
      </w:r>
    </w:p>
    <w:p w:rsidR="001C3210" w:rsidRPr="001C3210" w:rsidRDefault="001C3210" w:rsidP="001F2CA8">
      <w:pPr>
        <w:pStyle w:val="2"/>
        <w:spacing w:before="120" w:after="0" w:line="288" w:lineRule="auto"/>
        <w:rPr>
          <w:sz w:val="26"/>
        </w:rPr>
      </w:pPr>
      <w:r w:rsidRPr="001C3210">
        <w:rPr>
          <w:sz w:val="26"/>
        </w:rPr>
        <w:t>Промышленное производство.</w:t>
      </w:r>
    </w:p>
    <w:p w:rsidR="00FD1DE2" w:rsidRPr="004F1D18" w:rsidRDefault="00FD1DE2" w:rsidP="00D94221">
      <w:pPr>
        <w:pStyle w:val="21"/>
        <w:spacing w:after="0" w:line="288" w:lineRule="auto"/>
        <w:ind w:firstLine="709"/>
        <w:jc w:val="both"/>
        <w:rPr>
          <w:bCs/>
          <w:spacing w:val="-2"/>
          <w:sz w:val="26"/>
          <w:szCs w:val="26"/>
        </w:rPr>
      </w:pPr>
      <w:r w:rsidRPr="004F1D18">
        <w:rPr>
          <w:bCs/>
          <w:spacing w:val="-2"/>
          <w:sz w:val="26"/>
          <w:szCs w:val="26"/>
        </w:rPr>
        <w:t>Основу промышленности Архангельской области составляют обрабатывающие производства, на долю которых традиционно приходится около 80% промышленного производства.</w:t>
      </w:r>
    </w:p>
    <w:p w:rsidR="00FD1DE2" w:rsidRPr="001F2CA8" w:rsidRDefault="00FD1DE2" w:rsidP="00D94221">
      <w:pPr>
        <w:pStyle w:val="21"/>
        <w:spacing w:after="0" w:line="288" w:lineRule="auto"/>
        <w:ind w:firstLine="709"/>
        <w:jc w:val="both"/>
        <w:rPr>
          <w:spacing w:val="-4"/>
          <w:sz w:val="26"/>
          <w:szCs w:val="26"/>
        </w:rPr>
      </w:pPr>
      <w:proofErr w:type="gramStart"/>
      <w:r w:rsidRPr="001F2CA8">
        <w:rPr>
          <w:bCs/>
          <w:spacing w:val="-4"/>
          <w:sz w:val="26"/>
          <w:szCs w:val="26"/>
        </w:rPr>
        <w:t>Из</w:t>
      </w:r>
      <w:proofErr w:type="gramEnd"/>
      <w:r w:rsidRPr="001F2CA8">
        <w:rPr>
          <w:bCs/>
          <w:spacing w:val="-4"/>
          <w:sz w:val="26"/>
          <w:szCs w:val="26"/>
        </w:rPr>
        <w:t xml:space="preserve"> </w:t>
      </w:r>
      <w:proofErr w:type="gramStart"/>
      <w:r w:rsidRPr="001F2CA8">
        <w:rPr>
          <w:bCs/>
          <w:spacing w:val="-4"/>
          <w:sz w:val="26"/>
          <w:szCs w:val="26"/>
        </w:rPr>
        <w:t>обрабатывающих</w:t>
      </w:r>
      <w:proofErr w:type="gramEnd"/>
      <w:r w:rsidRPr="001F2CA8">
        <w:rPr>
          <w:bCs/>
          <w:spacing w:val="-4"/>
          <w:sz w:val="26"/>
          <w:szCs w:val="26"/>
        </w:rPr>
        <w:t xml:space="preserve"> производств наиболее значимыми я</w:t>
      </w:r>
      <w:r w:rsidRPr="001F2CA8">
        <w:rPr>
          <w:spacing w:val="-4"/>
          <w:sz w:val="26"/>
          <w:szCs w:val="26"/>
        </w:rPr>
        <w:t xml:space="preserve">вляются </w:t>
      </w:r>
      <w:r w:rsidRPr="001F2CA8">
        <w:rPr>
          <w:i/>
          <w:spacing w:val="-4"/>
          <w:sz w:val="26"/>
          <w:szCs w:val="26"/>
        </w:rPr>
        <w:t>лесопромышленный комплекс</w:t>
      </w:r>
      <w:r w:rsidRPr="001F2CA8">
        <w:rPr>
          <w:spacing w:val="-4"/>
          <w:sz w:val="26"/>
          <w:szCs w:val="26"/>
        </w:rPr>
        <w:t xml:space="preserve"> </w:t>
      </w:r>
      <w:r w:rsidRPr="001F2CA8">
        <w:rPr>
          <w:bCs/>
          <w:spacing w:val="-4"/>
          <w:sz w:val="26"/>
          <w:szCs w:val="26"/>
        </w:rPr>
        <w:t xml:space="preserve">(обработка древесины и производство изделий из дерева; производство целлюлозы, древесной массы, бумаги, картона и изделий из них) </w:t>
      </w:r>
      <w:r w:rsidRPr="001F2CA8">
        <w:rPr>
          <w:spacing w:val="-4"/>
          <w:sz w:val="26"/>
          <w:szCs w:val="26"/>
        </w:rPr>
        <w:lastRenderedPageBreak/>
        <w:t xml:space="preserve">и </w:t>
      </w:r>
      <w:r w:rsidRPr="001F2CA8">
        <w:rPr>
          <w:i/>
          <w:spacing w:val="-4"/>
          <w:sz w:val="26"/>
          <w:szCs w:val="26"/>
        </w:rPr>
        <w:t>судостроительный комплекс</w:t>
      </w:r>
      <w:r w:rsidRPr="001F2CA8">
        <w:rPr>
          <w:spacing w:val="-4"/>
          <w:sz w:val="26"/>
          <w:szCs w:val="26"/>
        </w:rPr>
        <w:t xml:space="preserve"> </w:t>
      </w:r>
      <w:r w:rsidRPr="001F2CA8">
        <w:rPr>
          <w:bCs/>
          <w:spacing w:val="-4"/>
          <w:sz w:val="26"/>
          <w:szCs w:val="26"/>
        </w:rPr>
        <w:t xml:space="preserve">(производство транспортных средств и оборудования и связанные с ним </w:t>
      </w:r>
      <w:r w:rsidR="00867C35" w:rsidRPr="001F2CA8">
        <w:rPr>
          <w:bCs/>
          <w:spacing w:val="-4"/>
          <w:sz w:val="26"/>
          <w:szCs w:val="26"/>
        </w:rPr>
        <w:t>виды деятельности</w:t>
      </w:r>
      <w:r w:rsidRPr="001F2CA8">
        <w:rPr>
          <w:bCs/>
          <w:spacing w:val="-4"/>
          <w:sz w:val="26"/>
          <w:szCs w:val="26"/>
        </w:rPr>
        <w:t>: металлургическое производство, производство электрооборудования и производство машин и оборудования)</w:t>
      </w:r>
      <w:r w:rsidRPr="001F2CA8">
        <w:rPr>
          <w:spacing w:val="-4"/>
          <w:sz w:val="26"/>
          <w:szCs w:val="26"/>
        </w:rPr>
        <w:t>, которые оказывают основное влияние на динамику промышленного производства по области в целом. Кроме того, к числу значимых отраслей относятся пищевая промышленность, производство строительных материалов и энергетика. С 2015 года к значимым для региона отраслям можно отнести и добычу полезных ископаемых, удельный вес которой в общем объёме промышленного производства значительно вырос</w:t>
      </w:r>
      <w:r w:rsidR="005D3577">
        <w:rPr>
          <w:spacing w:val="-4"/>
          <w:sz w:val="26"/>
          <w:szCs w:val="26"/>
        </w:rPr>
        <w:t xml:space="preserve"> (до 10%)</w:t>
      </w:r>
      <w:r w:rsidRPr="001F2CA8">
        <w:rPr>
          <w:spacing w:val="-4"/>
          <w:sz w:val="26"/>
          <w:szCs w:val="26"/>
        </w:rPr>
        <w:t>.</w:t>
      </w:r>
    </w:p>
    <w:p w:rsidR="00FD1DE2" w:rsidRPr="004F1D18" w:rsidRDefault="00FD1DE2" w:rsidP="005D3577">
      <w:pPr>
        <w:pStyle w:val="21"/>
        <w:spacing w:after="0" w:line="288" w:lineRule="auto"/>
        <w:ind w:firstLine="709"/>
        <w:jc w:val="both"/>
        <w:rPr>
          <w:bCs/>
          <w:sz w:val="26"/>
          <w:szCs w:val="26"/>
        </w:rPr>
      </w:pPr>
      <w:r w:rsidRPr="004F1D18">
        <w:rPr>
          <w:bCs/>
          <w:sz w:val="26"/>
          <w:szCs w:val="26"/>
        </w:rPr>
        <w:t xml:space="preserve">В целом индекс промышленного производства </w:t>
      </w:r>
      <w:r w:rsidR="005D3577">
        <w:rPr>
          <w:bCs/>
          <w:sz w:val="26"/>
          <w:szCs w:val="26"/>
        </w:rPr>
        <w:t xml:space="preserve">в Архангельской области </w:t>
      </w:r>
      <w:r w:rsidR="005D3577">
        <w:rPr>
          <w:bCs/>
          <w:sz w:val="26"/>
          <w:szCs w:val="26"/>
        </w:rPr>
        <w:br/>
      </w:r>
      <w:r w:rsidRPr="004F1D18">
        <w:rPr>
          <w:bCs/>
          <w:sz w:val="26"/>
          <w:szCs w:val="26"/>
        </w:rPr>
        <w:t>за 2014 год составил 70,8%.</w:t>
      </w:r>
      <w:r w:rsidR="005D3577">
        <w:rPr>
          <w:bCs/>
          <w:sz w:val="26"/>
          <w:szCs w:val="26"/>
        </w:rPr>
        <w:t xml:space="preserve"> </w:t>
      </w:r>
      <w:r w:rsidRPr="004F1D18">
        <w:rPr>
          <w:bCs/>
          <w:sz w:val="26"/>
          <w:szCs w:val="26"/>
        </w:rPr>
        <w:t>Данное падение индекса промышленного производства не отражает реальною ситуацию в промышленности региона, поскольку снижение общего индекса является прямым следствием снижения индекса производства в судостроении, что обусловлено особенностями статистического учёта продукции оборонно-промышленного комплекса с длительным циклом производства.</w:t>
      </w:r>
    </w:p>
    <w:p w:rsidR="00FD1DE2" w:rsidRPr="0032405B" w:rsidRDefault="00FD1DE2" w:rsidP="00D94221">
      <w:pPr>
        <w:pStyle w:val="21"/>
        <w:spacing w:after="0" w:line="288" w:lineRule="auto"/>
        <w:ind w:firstLine="709"/>
        <w:jc w:val="both"/>
        <w:rPr>
          <w:spacing w:val="-2"/>
          <w:sz w:val="26"/>
          <w:szCs w:val="26"/>
        </w:rPr>
      </w:pPr>
      <w:proofErr w:type="gramStart"/>
      <w:r w:rsidRPr="004F1D18">
        <w:rPr>
          <w:spacing w:val="-2"/>
          <w:sz w:val="26"/>
          <w:szCs w:val="26"/>
        </w:rPr>
        <w:t>В 2015 году индекс промышленного производства по Архангельской области в</w:t>
      </w:r>
      <w:r w:rsidR="001F7070" w:rsidRPr="004F1D18">
        <w:rPr>
          <w:spacing w:val="-2"/>
          <w:sz w:val="26"/>
          <w:szCs w:val="26"/>
        </w:rPr>
        <w:t> целом оцен</w:t>
      </w:r>
      <w:r w:rsidR="001F7070" w:rsidRPr="0032405B">
        <w:rPr>
          <w:spacing w:val="-2"/>
          <w:sz w:val="26"/>
          <w:szCs w:val="26"/>
        </w:rPr>
        <w:t>ивается на уровне 97,</w:t>
      </w:r>
      <w:r w:rsidR="004F1D18" w:rsidRPr="0032405B">
        <w:rPr>
          <w:spacing w:val="-2"/>
          <w:sz w:val="26"/>
          <w:szCs w:val="26"/>
        </w:rPr>
        <w:t>1</w:t>
      </w:r>
      <w:r w:rsidRPr="0032405B">
        <w:rPr>
          <w:spacing w:val="-2"/>
          <w:sz w:val="26"/>
          <w:szCs w:val="26"/>
        </w:rPr>
        <w:t>%. Снижение индекса промышленного производства относительно уровня 2014 года обусловлено спадом в производстве пищевых продуктов - темп роста 81,3%. Кроме этого, значительное влияние на индекс промышленного производства</w:t>
      </w:r>
      <w:r w:rsidR="00F41303">
        <w:rPr>
          <w:spacing w:val="-2"/>
          <w:sz w:val="26"/>
          <w:szCs w:val="26"/>
        </w:rPr>
        <w:t xml:space="preserve"> по-прежнему</w:t>
      </w:r>
      <w:r w:rsidRPr="0032405B">
        <w:rPr>
          <w:spacing w:val="-2"/>
          <w:sz w:val="26"/>
          <w:szCs w:val="26"/>
        </w:rPr>
        <w:t xml:space="preserve"> окажет вид деятельности «производство транспортных средств и оборудования», где по итогам 2015 года прогнозируется снижение на 12,5%, при удельном</w:t>
      </w:r>
      <w:proofErr w:type="gramEnd"/>
      <w:r w:rsidRPr="0032405B">
        <w:rPr>
          <w:spacing w:val="-2"/>
          <w:sz w:val="26"/>
          <w:szCs w:val="26"/>
        </w:rPr>
        <w:t xml:space="preserve"> </w:t>
      </w:r>
      <w:proofErr w:type="gramStart"/>
      <w:r w:rsidRPr="0032405B">
        <w:rPr>
          <w:spacing w:val="-2"/>
          <w:sz w:val="26"/>
          <w:szCs w:val="26"/>
        </w:rPr>
        <w:t>весе</w:t>
      </w:r>
      <w:proofErr w:type="gramEnd"/>
      <w:r w:rsidRPr="0032405B">
        <w:rPr>
          <w:spacing w:val="-2"/>
          <w:sz w:val="26"/>
          <w:szCs w:val="26"/>
        </w:rPr>
        <w:t xml:space="preserve"> в промышленном производстве порядка 30%.</w:t>
      </w:r>
    </w:p>
    <w:p w:rsidR="00FD1DE2" w:rsidRPr="0032405B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32405B">
        <w:rPr>
          <w:sz w:val="26"/>
          <w:szCs w:val="26"/>
        </w:rPr>
        <w:t xml:space="preserve">В прогнозируемый период 2016-2018 годов динамика промышленного производства по области в целом будет зависеть от изменения динамики по </w:t>
      </w:r>
      <w:r w:rsidR="0032405B">
        <w:rPr>
          <w:sz w:val="26"/>
          <w:szCs w:val="26"/>
        </w:rPr>
        <w:t>виду экономической деятельности</w:t>
      </w:r>
      <w:r w:rsidRPr="0032405B">
        <w:rPr>
          <w:sz w:val="26"/>
          <w:szCs w:val="26"/>
        </w:rPr>
        <w:t xml:space="preserve"> «производство транспортных средств и оборудов</w:t>
      </w:r>
      <w:r w:rsidR="0032405B">
        <w:rPr>
          <w:sz w:val="26"/>
          <w:szCs w:val="26"/>
        </w:rPr>
        <w:t xml:space="preserve">ания» и сопряжённых с ним видов деятельности. </w:t>
      </w:r>
      <w:r w:rsidRPr="0032405B">
        <w:rPr>
          <w:sz w:val="26"/>
          <w:szCs w:val="26"/>
        </w:rPr>
        <w:t>В 2016 году индекс промышленного производства п</w:t>
      </w:r>
      <w:r w:rsidR="002D642D" w:rsidRPr="0032405B">
        <w:rPr>
          <w:sz w:val="26"/>
          <w:szCs w:val="26"/>
        </w:rPr>
        <w:t xml:space="preserve">о прогнозным расчётам составит </w:t>
      </w:r>
      <w:r w:rsidR="0032405B" w:rsidRPr="0032405B">
        <w:rPr>
          <w:sz w:val="26"/>
          <w:szCs w:val="26"/>
        </w:rPr>
        <w:t>97,5-101,2</w:t>
      </w:r>
      <w:r w:rsidRPr="0032405B">
        <w:rPr>
          <w:sz w:val="26"/>
          <w:szCs w:val="26"/>
        </w:rPr>
        <w:t>%</w:t>
      </w:r>
      <w:r w:rsidR="0032405B">
        <w:rPr>
          <w:sz w:val="26"/>
          <w:szCs w:val="26"/>
        </w:rPr>
        <w:t xml:space="preserve">, </w:t>
      </w:r>
      <w:r w:rsidR="0032405B">
        <w:rPr>
          <w:sz w:val="26"/>
          <w:szCs w:val="26"/>
        </w:rPr>
        <w:br/>
      </w:r>
      <w:r w:rsidR="0032405B" w:rsidRPr="00F41303">
        <w:rPr>
          <w:spacing w:val="-4"/>
          <w:sz w:val="26"/>
          <w:szCs w:val="26"/>
        </w:rPr>
        <w:t>в</w:t>
      </w:r>
      <w:r w:rsidRPr="00F41303">
        <w:rPr>
          <w:spacing w:val="-4"/>
          <w:sz w:val="26"/>
          <w:szCs w:val="26"/>
        </w:rPr>
        <w:t xml:space="preserve"> 2017 году – (</w:t>
      </w:r>
      <w:r w:rsidR="0032405B" w:rsidRPr="00F41303">
        <w:rPr>
          <w:spacing w:val="-4"/>
          <w:sz w:val="26"/>
          <w:szCs w:val="26"/>
        </w:rPr>
        <w:t>101,0-111,2</w:t>
      </w:r>
      <w:r w:rsidRPr="00F41303">
        <w:rPr>
          <w:spacing w:val="-4"/>
          <w:sz w:val="26"/>
          <w:szCs w:val="26"/>
        </w:rPr>
        <w:t>%); в 2018 году – (10</w:t>
      </w:r>
      <w:r w:rsidR="00481DDA" w:rsidRPr="00F41303">
        <w:rPr>
          <w:spacing w:val="-4"/>
          <w:sz w:val="26"/>
          <w:szCs w:val="26"/>
        </w:rPr>
        <w:t>4,</w:t>
      </w:r>
      <w:r w:rsidR="0032405B" w:rsidRPr="00F41303">
        <w:rPr>
          <w:spacing w:val="-4"/>
          <w:sz w:val="26"/>
          <w:szCs w:val="26"/>
        </w:rPr>
        <w:t>6-107,2</w:t>
      </w:r>
      <w:r w:rsidRPr="00F41303">
        <w:rPr>
          <w:spacing w:val="-4"/>
          <w:sz w:val="26"/>
          <w:szCs w:val="26"/>
        </w:rPr>
        <w:t>%)</w:t>
      </w:r>
      <w:r w:rsidR="00F41303" w:rsidRPr="00F41303">
        <w:rPr>
          <w:spacing w:val="-4"/>
          <w:sz w:val="26"/>
          <w:szCs w:val="26"/>
        </w:rPr>
        <w:t xml:space="preserve"> в зависимости от вариантов</w:t>
      </w:r>
      <w:r w:rsidR="00481DDA" w:rsidRPr="00F41303">
        <w:rPr>
          <w:spacing w:val="-4"/>
          <w:sz w:val="26"/>
          <w:szCs w:val="26"/>
        </w:rPr>
        <w:t>.</w:t>
      </w:r>
    </w:p>
    <w:p w:rsidR="00FD1DE2" w:rsidRPr="00973DBC" w:rsidRDefault="00FD1DE2" w:rsidP="001F2CA8">
      <w:pPr>
        <w:pStyle w:val="3"/>
        <w:spacing w:after="0" w:line="288" w:lineRule="auto"/>
        <w:rPr>
          <w:sz w:val="26"/>
          <w:szCs w:val="26"/>
        </w:rPr>
      </w:pPr>
      <w:r w:rsidRPr="00973DBC">
        <w:rPr>
          <w:sz w:val="26"/>
          <w:szCs w:val="26"/>
        </w:rPr>
        <w:t>Добыча полезных ископаемых (раздел - С).</w:t>
      </w:r>
    </w:p>
    <w:p w:rsidR="00FD1DE2" w:rsidRPr="00973DBC" w:rsidRDefault="00FD1DE2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973DBC">
        <w:rPr>
          <w:sz w:val="26"/>
          <w:szCs w:val="26"/>
        </w:rPr>
        <w:t>В 2014 году объем отгруженных товаров собственного производства, выполненных работ и услуг собственными силами (далее - объем отгруженных товаров) составил 6,6 млрд. рублей, индекс производства – 185,5 процента.</w:t>
      </w:r>
    </w:p>
    <w:p w:rsidR="00FD1DE2" w:rsidRPr="00283699" w:rsidRDefault="00FD1DE2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283699">
        <w:rPr>
          <w:sz w:val="26"/>
          <w:szCs w:val="26"/>
        </w:rPr>
        <w:t xml:space="preserve">В 2015 году объёмы производства возрастут, по оценке, на </w:t>
      </w:r>
      <w:r w:rsidR="00973DBC" w:rsidRPr="00283699">
        <w:rPr>
          <w:sz w:val="26"/>
          <w:szCs w:val="26"/>
        </w:rPr>
        <w:t>49,3</w:t>
      </w:r>
      <w:r w:rsidRPr="00283699">
        <w:rPr>
          <w:sz w:val="26"/>
          <w:szCs w:val="26"/>
        </w:rPr>
        <w:t>%, объём отг</w:t>
      </w:r>
      <w:r w:rsidR="006E184B" w:rsidRPr="00283699">
        <w:rPr>
          <w:sz w:val="26"/>
          <w:szCs w:val="26"/>
        </w:rPr>
        <w:t xml:space="preserve">руженных товаров оценивается в </w:t>
      </w:r>
      <w:r w:rsidR="00973DBC" w:rsidRPr="00283699">
        <w:rPr>
          <w:sz w:val="26"/>
          <w:szCs w:val="26"/>
        </w:rPr>
        <w:t>19,4</w:t>
      </w:r>
      <w:r w:rsidR="006E184B" w:rsidRPr="00283699">
        <w:rPr>
          <w:sz w:val="26"/>
          <w:szCs w:val="26"/>
        </w:rPr>
        <w:t xml:space="preserve"> </w:t>
      </w:r>
      <w:r w:rsidRPr="00283699">
        <w:rPr>
          <w:sz w:val="26"/>
          <w:szCs w:val="26"/>
        </w:rPr>
        <w:t>млрд. рублей.</w:t>
      </w:r>
    </w:p>
    <w:p w:rsidR="00FD1DE2" w:rsidRPr="00283699" w:rsidRDefault="00FD1DE2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283699">
        <w:rPr>
          <w:sz w:val="26"/>
          <w:szCs w:val="26"/>
        </w:rPr>
        <w:t>Прогноз развития до 2018 года базируется на перспективных планах развития горнодобывающих предприятий, осуществляющих добычу бокситов, добычу алмазов, гипса, строительных камней, песка и песчано-гравийных смесей.</w:t>
      </w:r>
    </w:p>
    <w:p w:rsidR="00FD1DE2" w:rsidRPr="00D31E80" w:rsidRDefault="00FD1DE2" w:rsidP="001F2CA8">
      <w:pPr>
        <w:pStyle w:val="3"/>
        <w:spacing w:after="0" w:line="288" w:lineRule="auto"/>
        <w:rPr>
          <w:sz w:val="26"/>
          <w:szCs w:val="26"/>
        </w:rPr>
      </w:pPr>
      <w:r w:rsidRPr="00D31E80">
        <w:rPr>
          <w:sz w:val="26"/>
          <w:szCs w:val="26"/>
        </w:rPr>
        <w:lastRenderedPageBreak/>
        <w:t>Обрабатывающие производства (раздел - D).</w:t>
      </w:r>
    </w:p>
    <w:p w:rsidR="00FD1DE2" w:rsidRPr="00D31E80" w:rsidRDefault="00FD1DE2" w:rsidP="00D94221">
      <w:pPr>
        <w:pStyle w:val="4"/>
        <w:spacing w:before="0" w:after="0" w:line="288" w:lineRule="auto"/>
        <w:rPr>
          <w:sz w:val="26"/>
          <w:szCs w:val="26"/>
        </w:rPr>
      </w:pPr>
      <w:r w:rsidRPr="00D31E80">
        <w:rPr>
          <w:sz w:val="26"/>
          <w:szCs w:val="26"/>
        </w:rPr>
        <w:t>Производство пищевых продуктов, включая напитки, и табака.</w:t>
      </w:r>
    </w:p>
    <w:p w:rsidR="00FD1DE2" w:rsidRPr="00D31E80" w:rsidRDefault="00FD1DE2" w:rsidP="00D94221">
      <w:pPr>
        <w:spacing w:line="288" w:lineRule="auto"/>
        <w:ind w:firstLine="709"/>
        <w:jc w:val="both"/>
        <w:rPr>
          <w:spacing w:val="-2"/>
          <w:sz w:val="26"/>
          <w:szCs w:val="26"/>
        </w:rPr>
      </w:pPr>
      <w:r w:rsidRPr="00D31E80">
        <w:rPr>
          <w:spacing w:val="-2"/>
          <w:sz w:val="26"/>
          <w:szCs w:val="26"/>
        </w:rPr>
        <w:t>В структуре производства пищевых продуктов наиболее значимыми отраслями являются молокоперерабатывающая, мясоперерабатывающая, производство хлебобулочных изделий, производство водки и ликероводочных изделий, переработка рыбы.</w:t>
      </w:r>
    </w:p>
    <w:p w:rsidR="00FD1DE2" w:rsidRPr="00D31E80" w:rsidRDefault="00FD1DE2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D31E80">
        <w:rPr>
          <w:sz w:val="26"/>
          <w:szCs w:val="26"/>
        </w:rPr>
        <w:t xml:space="preserve">Наиболее крупными предприятиями отрасли являются: </w:t>
      </w:r>
    </w:p>
    <w:p w:rsidR="00FD1DE2" w:rsidRPr="00D31E80" w:rsidRDefault="00FD1DE2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D31E80">
        <w:rPr>
          <w:sz w:val="26"/>
          <w:szCs w:val="26"/>
        </w:rPr>
        <w:t>переработка молока – ОАО</w:t>
      </w:r>
      <w:r w:rsidRPr="00D31E80">
        <w:rPr>
          <w:sz w:val="26"/>
          <w:szCs w:val="26"/>
          <w:lang w:val="en-US"/>
        </w:rPr>
        <w:t> </w:t>
      </w:r>
      <w:r w:rsidRPr="00D31E80">
        <w:rPr>
          <w:sz w:val="26"/>
          <w:szCs w:val="26"/>
        </w:rPr>
        <w:t xml:space="preserve">«Молоко», ОАО «Северодвинск-Молоко», ЗАО «Вельский </w:t>
      </w:r>
      <w:proofErr w:type="spellStart"/>
      <w:r w:rsidRPr="00D31E80">
        <w:rPr>
          <w:sz w:val="26"/>
          <w:szCs w:val="26"/>
        </w:rPr>
        <w:t>Анком</w:t>
      </w:r>
      <w:proofErr w:type="spellEnd"/>
      <w:r w:rsidRPr="00D31E80">
        <w:rPr>
          <w:sz w:val="26"/>
          <w:szCs w:val="26"/>
        </w:rPr>
        <w:t>», ООО «Маслодельный завод «</w:t>
      </w:r>
      <w:proofErr w:type="spellStart"/>
      <w:r w:rsidRPr="00D31E80">
        <w:rPr>
          <w:sz w:val="26"/>
          <w:szCs w:val="26"/>
        </w:rPr>
        <w:t>Красноборский</w:t>
      </w:r>
      <w:proofErr w:type="spellEnd"/>
      <w:r w:rsidRPr="00D31E80">
        <w:rPr>
          <w:sz w:val="26"/>
          <w:szCs w:val="26"/>
        </w:rPr>
        <w:t xml:space="preserve">»; </w:t>
      </w:r>
    </w:p>
    <w:p w:rsidR="00FD1DE2" w:rsidRPr="00D31E80" w:rsidRDefault="00FD1DE2" w:rsidP="00D94221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D31E80">
        <w:rPr>
          <w:sz w:val="26"/>
          <w:szCs w:val="26"/>
        </w:rPr>
        <w:t>производство мясных полуфабрикатов и колбасных изделий –</w:t>
      </w:r>
      <w:r w:rsidR="00F41303">
        <w:rPr>
          <w:sz w:val="26"/>
          <w:szCs w:val="26"/>
        </w:rPr>
        <w:t xml:space="preserve"> ООО «Мясные продукты» </w:t>
      </w:r>
      <w:r w:rsidRPr="00D31E80">
        <w:rPr>
          <w:sz w:val="26"/>
          <w:szCs w:val="26"/>
        </w:rPr>
        <w:t>(г. Север</w:t>
      </w:r>
      <w:r w:rsidR="00F41303">
        <w:rPr>
          <w:sz w:val="26"/>
          <w:szCs w:val="26"/>
        </w:rPr>
        <w:t xml:space="preserve">одвинск), ООО </w:t>
      </w:r>
      <w:r w:rsidR="00F41303" w:rsidRPr="00D31E80">
        <w:rPr>
          <w:sz w:val="26"/>
          <w:szCs w:val="26"/>
        </w:rPr>
        <w:t>«Мясоперерабатывающий цех «Апрель»</w:t>
      </w:r>
      <w:r w:rsidR="00F41303">
        <w:rPr>
          <w:sz w:val="26"/>
          <w:szCs w:val="26"/>
        </w:rPr>
        <w:t xml:space="preserve">, </w:t>
      </w:r>
      <w:r w:rsidR="00F41303">
        <w:rPr>
          <w:sz w:val="26"/>
          <w:szCs w:val="26"/>
        </w:rPr>
        <w:br/>
      </w:r>
      <w:r w:rsidR="00F41303" w:rsidRPr="00D31E80">
        <w:rPr>
          <w:sz w:val="26"/>
          <w:szCs w:val="26"/>
        </w:rPr>
        <w:t xml:space="preserve">МПЦ «Стрела» (г. </w:t>
      </w:r>
      <w:r w:rsidR="00F41303">
        <w:rPr>
          <w:sz w:val="26"/>
          <w:szCs w:val="26"/>
        </w:rPr>
        <w:t>Котлас)</w:t>
      </w:r>
      <w:r w:rsidRPr="00D31E80">
        <w:rPr>
          <w:sz w:val="26"/>
          <w:szCs w:val="26"/>
        </w:rPr>
        <w:t xml:space="preserve">; </w:t>
      </w:r>
      <w:proofErr w:type="gramEnd"/>
    </w:p>
    <w:p w:rsidR="00FD1DE2" w:rsidRPr="00D31E80" w:rsidRDefault="00FD1DE2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D31E80">
        <w:rPr>
          <w:sz w:val="26"/>
          <w:szCs w:val="26"/>
        </w:rPr>
        <w:t>производство хлеба и хлебобулочных изделий – ЗАО работников «Народное предприятие «</w:t>
      </w:r>
      <w:proofErr w:type="spellStart"/>
      <w:r w:rsidRPr="00D31E80">
        <w:rPr>
          <w:sz w:val="26"/>
          <w:szCs w:val="26"/>
        </w:rPr>
        <w:t>Архангельскхлеб</w:t>
      </w:r>
      <w:proofErr w:type="spellEnd"/>
      <w:r w:rsidRPr="00D31E80">
        <w:rPr>
          <w:sz w:val="26"/>
          <w:szCs w:val="26"/>
        </w:rPr>
        <w:t>», ОАО «</w:t>
      </w:r>
      <w:proofErr w:type="gramStart"/>
      <w:r w:rsidRPr="00D31E80">
        <w:rPr>
          <w:sz w:val="26"/>
          <w:szCs w:val="26"/>
        </w:rPr>
        <w:t>Северодвинский</w:t>
      </w:r>
      <w:proofErr w:type="gramEnd"/>
      <w:r w:rsidRPr="00D31E80">
        <w:rPr>
          <w:sz w:val="26"/>
          <w:szCs w:val="26"/>
        </w:rPr>
        <w:t xml:space="preserve"> </w:t>
      </w:r>
      <w:proofErr w:type="spellStart"/>
      <w:r w:rsidRPr="00D31E80">
        <w:rPr>
          <w:sz w:val="26"/>
          <w:szCs w:val="26"/>
        </w:rPr>
        <w:t>хлебокомбинат</w:t>
      </w:r>
      <w:proofErr w:type="spellEnd"/>
      <w:r w:rsidRPr="00D31E80">
        <w:rPr>
          <w:sz w:val="26"/>
          <w:szCs w:val="26"/>
        </w:rPr>
        <w:t xml:space="preserve">»; </w:t>
      </w:r>
    </w:p>
    <w:p w:rsidR="00FD1DE2" w:rsidRPr="00D31E80" w:rsidRDefault="00FD1DE2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D31E80">
        <w:rPr>
          <w:sz w:val="26"/>
          <w:szCs w:val="26"/>
        </w:rPr>
        <w:t xml:space="preserve">производство алкогольных напитков - ОАО «Архангельский </w:t>
      </w:r>
      <w:proofErr w:type="spellStart"/>
      <w:proofErr w:type="gramStart"/>
      <w:r w:rsidRPr="00D31E80">
        <w:rPr>
          <w:sz w:val="26"/>
          <w:szCs w:val="26"/>
        </w:rPr>
        <w:t>ликеро-водочный</w:t>
      </w:r>
      <w:proofErr w:type="spellEnd"/>
      <w:proofErr w:type="gramEnd"/>
      <w:r w:rsidRPr="00D31E80">
        <w:rPr>
          <w:sz w:val="26"/>
          <w:szCs w:val="26"/>
        </w:rPr>
        <w:t xml:space="preserve"> завод».</w:t>
      </w:r>
    </w:p>
    <w:p w:rsidR="00FD1DE2" w:rsidRPr="00D31E80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D31E80">
        <w:rPr>
          <w:sz w:val="26"/>
          <w:szCs w:val="26"/>
        </w:rPr>
        <w:t xml:space="preserve">В 2014 году объем отгруженных товаров составил 11,5 млрд. рублей, индекс производства – 102,4 процента. </w:t>
      </w:r>
    </w:p>
    <w:p w:rsidR="00FD1DE2" w:rsidRPr="00D31E80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proofErr w:type="gramStart"/>
      <w:r w:rsidRPr="00D31E80">
        <w:rPr>
          <w:sz w:val="26"/>
          <w:szCs w:val="26"/>
        </w:rPr>
        <w:t xml:space="preserve">В 2015 году объем отгруженных товаров по производству пищевых продуктов оценивается в </w:t>
      </w:r>
      <w:r w:rsidR="000037D0" w:rsidRPr="00D31E80">
        <w:rPr>
          <w:sz w:val="26"/>
          <w:szCs w:val="26"/>
        </w:rPr>
        <w:t>11,2</w:t>
      </w:r>
      <w:r w:rsidRPr="00D31E80">
        <w:rPr>
          <w:sz w:val="26"/>
          <w:szCs w:val="26"/>
        </w:rPr>
        <w:t xml:space="preserve"> млрд. рублей, индекс производства – 81,3%. Снижение объемов производства обусловлено значительным сокращением производства мяса и субпродуктов пищевых домашней птицы, вызванного прекращением производства данной товарной группы на одном из предприятий отрасли (ОАО «Вельская птицефабрика») вследствие пожара в феврале 2015 года. </w:t>
      </w:r>
      <w:proofErr w:type="gramEnd"/>
    </w:p>
    <w:p w:rsidR="00FD1DE2" w:rsidRPr="00D31E80" w:rsidRDefault="00FD1DE2" w:rsidP="00D94221">
      <w:pPr>
        <w:spacing w:line="288" w:lineRule="auto"/>
        <w:ind w:firstLine="709"/>
        <w:jc w:val="both"/>
        <w:rPr>
          <w:spacing w:val="-2"/>
          <w:sz w:val="26"/>
          <w:szCs w:val="26"/>
        </w:rPr>
      </w:pPr>
      <w:r w:rsidRPr="00D31E80">
        <w:rPr>
          <w:spacing w:val="-2"/>
          <w:sz w:val="26"/>
          <w:szCs w:val="26"/>
        </w:rPr>
        <w:t>В молокоперерабатывающей отрасли отмечен рост производства основных видов продукции. Увеличение объемов производства обусловлено модернизацией и реконструкцией производства ряда молокоперерабатывающих организаций.</w:t>
      </w:r>
    </w:p>
    <w:p w:rsidR="00FD1DE2" w:rsidRPr="00D31E80" w:rsidRDefault="00FD1DE2" w:rsidP="00D94221">
      <w:pPr>
        <w:spacing w:line="288" w:lineRule="auto"/>
        <w:ind w:firstLine="709"/>
        <w:jc w:val="both"/>
        <w:rPr>
          <w:spacing w:val="-2"/>
          <w:sz w:val="26"/>
          <w:szCs w:val="26"/>
        </w:rPr>
      </w:pPr>
      <w:r w:rsidRPr="00D31E80">
        <w:rPr>
          <w:sz w:val="26"/>
          <w:szCs w:val="26"/>
        </w:rPr>
        <w:t>В 2016-2018 годах</w:t>
      </w:r>
      <w:r w:rsidR="00D31E80">
        <w:rPr>
          <w:sz w:val="26"/>
          <w:szCs w:val="26"/>
        </w:rPr>
        <w:t xml:space="preserve"> по базовому варианту</w:t>
      </w:r>
      <w:r w:rsidRPr="00D31E80">
        <w:rPr>
          <w:sz w:val="26"/>
          <w:szCs w:val="26"/>
        </w:rPr>
        <w:t xml:space="preserve"> по данному виду экономической деятельности прогнозируется умеренный рост.</w:t>
      </w:r>
      <w:r w:rsidRPr="00D31E80">
        <w:rPr>
          <w:spacing w:val="-2"/>
          <w:sz w:val="26"/>
          <w:szCs w:val="26"/>
        </w:rPr>
        <w:t xml:space="preserve"> Дальнейшее развитие пищевой и перерабатывающей промышленности будет направлено на обеспечение полного потребления всего предложенного объема сельскохозяйственного сырья, производимого в области.</w:t>
      </w:r>
    </w:p>
    <w:p w:rsidR="00FD1DE2" w:rsidRPr="00282AB7" w:rsidRDefault="00FD1DE2" w:rsidP="008C0FF0">
      <w:pPr>
        <w:pStyle w:val="ConsPlusNormal"/>
        <w:widowControl/>
        <w:spacing w:before="12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2AB7">
        <w:rPr>
          <w:rFonts w:ascii="Times New Roman" w:hAnsi="Times New Roman" w:cs="Times New Roman"/>
          <w:b/>
          <w:sz w:val="26"/>
          <w:szCs w:val="26"/>
        </w:rPr>
        <w:t>Лесопромышленный комплекс.</w:t>
      </w:r>
    </w:p>
    <w:p w:rsidR="00FD1DE2" w:rsidRPr="00282AB7" w:rsidRDefault="00FD1DE2" w:rsidP="00D94221">
      <w:pPr>
        <w:pStyle w:val="4"/>
        <w:spacing w:before="0" w:after="0" w:line="288" w:lineRule="auto"/>
        <w:rPr>
          <w:sz w:val="26"/>
          <w:szCs w:val="26"/>
        </w:rPr>
      </w:pPr>
      <w:r w:rsidRPr="00282AB7">
        <w:rPr>
          <w:sz w:val="26"/>
          <w:szCs w:val="26"/>
        </w:rPr>
        <w:t>Обработка древесины и производство изделий из дерева.</w:t>
      </w:r>
    </w:p>
    <w:p w:rsidR="00FD1DE2" w:rsidRPr="00282AB7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282AB7">
        <w:rPr>
          <w:sz w:val="26"/>
          <w:szCs w:val="26"/>
        </w:rPr>
        <w:t>Лесопильно-деревообрабатывающие предприятия Архангельской области ориентированы на выпуск экспортных пиломатериалов. Основной объем (до 70%) производится предприятиями: ЗАО «Лесозавод 25»</w:t>
      </w:r>
      <w:r w:rsidR="00484F3D">
        <w:rPr>
          <w:sz w:val="26"/>
          <w:szCs w:val="26"/>
        </w:rPr>
        <w:t xml:space="preserve">, </w:t>
      </w:r>
      <w:r w:rsidRPr="00282AB7">
        <w:rPr>
          <w:sz w:val="26"/>
          <w:szCs w:val="26"/>
        </w:rPr>
        <w:t>ОАО</w:t>
      </w:r>
      <w:r w:rsidR="00484F3D">
        <w:rPr>
          <w:sz w:val="26"/>
          <w:szCs w:val="26"/>
        </w:rPr>
        <w:t xml:space="preserve"> </w:t>
      </w:r>
      <w:r w:rsidRPr="00282AB7">
        <w:rPr>
          <w:sz w:val="26"/>
          <w:szCs w:val="26"/>
        </w:rPr>
        <w:t>«Архангельский</w:t>
      </w:r>
      <w:r w:rsidR="00484F3D">
        <w:rPr>
          <w:sz w:val="26"/>
          <w:szCs w:val="26"/>
        </w:rPr>
        <w:t xml:space="preserve"> </w:t>
      </w:r>
      <w:r w:rsidRPr="00282AB7">
        <w:rPr>
          <w:sz w:val="26"/>
          <w:szCs w:val="26"/>
        </w:rPr>
        <w:t>ЛДК № 3»</w:t>
      </w:r>
      <w:r w:rsidR="00484F3D">
        <w:rPr>
          <w:sz w:val="26"/>
          <w:szCs w:val="26"/>
        </w:rPr>
        <w:t>, ОАО «</w:t>
      </w:r>
      <w:proofErr w:type="spellStart"/>
      <w:r w:rsidR="00484F3D">
        <w:rPr>
          <w:sz w:val="26"/>
          <w:szCs w:val="26"/>
        </w:rPr>
        <w:t>Соломбальский</w:t>
      </w:r>
      <w:proofErr w:type="spellEnd"/>
      <w:r w:rsidR="00484F3D">
        <w:rPr>
          <w:sz w:val="26"/>
          <w:szCs w:val="26"/>
        </w:rPr>
        <w:t xml:space="preserve"> ЛДК»</w:t>
      </w:r>
      <w:r w:rsidRPr="00282AB7">
        <w:rPr>
          <w:sz w:val="26"/>
          <w:szCs w:val="26"/>
        </w:rPr>
        <w:t>, ОАО «Онежский ЛДК», ООО «</w:t>
      </w:r>
      <w:proofErr w:type="spellStart"/>
      <w:r w:rsidRPr="00282AB7">
        <w:rPr>
          <w:sz w:val="26"/>
          <w:szCs w:val="26"/>
        </w:rPr>
        <w:t>Устьянский</w:t>
      </w:r>
      <w:proofErr w:type="spellEnd"/>
      <w:r w:rsidRPr="00282AB7">
        <w:rPr>
          <w:sz w:val="26"/>
          <w:szCs w:val="26"/>
        </w:rPr>
        <w:t xml:space="preserve"> ЛПК». ЗАО </w:t>
      </w:r>
      <w:r w:rsidR="002D642D" w:rsidRPr="00282AB7">
        <w:rPr>
          <w:sz w:val="26"/>
          <w:szCs w:val="26"/>
        </w:rPr>
        <w:t xml:space="preserve">«Архангельский фанерный завод» </w:t>
      </w:r>
      <w:r w:rsidRPr="00282AB7">
        <w:rPr>
          <w:sz w:val="26"/>
          <w:szCs w:val="26"/>
        </w:rPr>
        <w:t xml:space="preserve">производит фанеру клееную. </w:t>
      </w:r>
    </w:p>
    <w:p w:rsidR="00FD1DE2" w:rsidRPr="00282AB7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282AB7">
        <w:rPr>
          <w:sz w:val="26"/>
          <w:szCs w:val="26"/>
        </w:rPr>
        <w:lastRenderedPageBreak/>
        <w:t>В отчетном и прогнозируемом периоде динамика отгруженной продукции и производства основных видов продукции по виду деятельности обработка древесины и производство изделий из дерева положительная.</w:t>
      </w:r>
    </w:p>
    <w:p w:rsidR="00FD1DE2" w:rsidRPr="00861FF7" w:rsidRDefault="00FD1DE2" w:rsidP="001F2CA8">
      <w:pPr>
        <w:pStyle w:val="21"/>
        <w:spacing w:after="0" w:line="288" w:lineRule="auto"/>
        <w:ind w:firstLine="709"/>
        <w:jc w:val="both"/>
        <w:rPr>
          <w:spacing w:val="-6"/>
          <w:sz w:val="26"/>
          <w:szCs w:val="26"/>
        </w:rPr>
      </w:pPr>
      <w:r w:rsidRPr="00861FF7">
        <w:rPr>
          <w:spacing w:val="-6"/>
          <w:sz w:val="26"/>
          <w:szCs w:val="26"/>
        </w:rPr>
        <w:t>В 2014 году объем отгруженных товаров составил 15,6 млрд. рублей, индекс производства</w:t>
      </w:r>
      <w:r w:rsidR="001F2CA8" w:rsidRPr="00861FF7">
        <w:rPr>
          <w:spacing w:val="-6"/>
          <w:sz w:val="26"/>
          <w:szCs w:val="26"/>
        </w:rPr>
        <w:t xml:space="preserve"> – 97,1%. </w:t>
      </w:r>
      <w:r w:rsidRPr="00861FF7">
        <w:rPr>
          <w:spacing w:val="-6"/>
          <w:sz w:val="26"/>
          <w:szCs w:val="26"/>
        </w:rPr>
        <w:t xml:space="preserve">В 2015 году ожидается увеличение объемов производства пиломатериалов, фанеры, гранул топливных к 2014 году. Рост по пиломатериалам </w:t>
      </w:r>
      <w:proofErr w:type="gramStart"/>
      <w:r w:rsidRPr="00861FF7">
        <w:rPr>
          <w:spacing w:val="-6"/>
          <w:sz w:val="26"/>
          <w:szCs w:val="26"/>
        </w:rPr>
        <w:t>будет</w:t>
      </w:r>
      <w:proofErr w:type="gramEnd"/>
      <w:r w:rsidRPr="00861FF7">
        <w:rPr>
          <w:spacing w:val="-6"/>
          <w:sz w:val="26"/>
          <w:szCs w:val="26"/>
        </w:rPr>
        <w:t xml:space="preserve"> достигнут в ОАО «Онежский ЛДК», ООО «</w:t>
      </w:r>
      <w:proofErr w:type="spellStart"/>
      <w:r w:rsidRPr="00861FF7">
        <w:rPr>
          <w:spacing w:val="-6"/>
          <w:sz w:val="26"/>
          <w:szCs w:val="26"/>
        </w:rPr>
        <w:t>Устьянский</w:t>
      </w:r>
      <w:proofErr w:type="spellEnd"/>
      <w:r w:rsidRPr="00861FF7">
        <w:rPr>
          <w:spacing w:val="-6"/>
          <w:sz w:val="26"/>
          <w:szCs w:val="26"/>
        </w:rPr>
        <w:t xml:space="preserve"> ЛПК», по гранулам топливным (</w:t>
      </w:r>
      <w:proofErr w:type="spellStart"/>
      <w:r w:rsidRPr="00861FF7">
        <w:rPr>
          <w:spacing w:val="-6"/>
          <w:sz w:val="26"/>
          <w:szCs w:val="26"/>
        </w:rPr>
        <w:t>пеллетам</w:t>
      </w:r>
      <w:proofErr w:type="spellEnd"/>
      <w:r w:rsidRPr="00861FF7">
        <w:rPr>
          <w:spacing w:val="-6"/>
          <w:sz w:val="26"/>
          <w:szCs w:val="26"/>
        </w:rPr>
        <w:t>) – в ОАО «Архангельский ЛДК № 3»</w:t>
      </w:r>
      <w:r w:rsidR="00861FF7" w:rsidRPr="00861FF7">
        <w:rPr>
          <w:spacing w:val="-6"/>
          <w:sz w:val="26"/>
          <w:szCs w:val="26"/>
        </w:rPr>
        <w:t xml:space="preserve">, </w:t>
      </w:r>
      <w:r w:rsidRPr="00861FF7">
        <w:rPr>
          <w:spacing w:val="-6"/>
          <w:sz w:val="26"/>
          <w:szCs w:val="26"/>
        </w:rPr>
        <w:t>ЗАО «Лесозавод 25»</w:t>
      </w:r>
      <w:r w:rsidR="00861FF7" w:rsidRPr="00861FF7">
        <w:rPr>
          <w:spacing w:val="-6"/>
          <w:sz w:val="26"/>
          <w:szCs w:val="26"/>
        </w:rPr>
        <w:t xml:space="preserve"> и ОАО «</w:t>
      </w:r>
      <w:proofErr w:type="spellStart"/>
      <w:r w:rsidR="00861FF7" w:rsidRPr="00861FF7">
        <w:rPr>
          <w:spacing w:val="-6"/>
          <w:sz w:val="26"/>
          <w:szCs w:val="26"/>
        </w:rPr>
        <w:t>Бионет</w:t>
      </w:r>
      <w:proofErr w:type="spellEnd"/>
      <w:r w:rsidR="00861FF7" w:rsidRPr="00861FF7">
        <w:rPr>
          <w:spacing w:val="-6"/>
          <w:sz w:val="26"/>
          <w:szCs w:val="26"/>
        </w:rPr>
        <w:t>»</w:t>
      </w:r>
      <w:r w:rsidRPr="00861FF7">
        <w:rPr>
          <w:spacing w:val="-6"/>
          <w:sz w:val="26"/>
          <w:szCs w:val="26"/>
        </w:rPr>
        <w:t>. Увеличит производство фанеры ЗАО «Архангельский фанерный завод».</w:t>
      </w:r>
    </w:p>
    <w:p w:rsidR="00FD1DE2" w:rsidRPr="00282AB7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282AB7">
        <w:rPr>
          <w:sz w:val="26"/>
          <w:szCs w:val="26"/>
        </w:rPr>
        <w:t xml:space="preserve">В текущем году прекращена производственная деятельность </w:t>
      </w:r>
      <w:r w:rsidRPr="00282AB7">
        <w:rPr>
          <w:sz w:val="26"/>
          <w:szCs w:val="26"/>
        </w:rPr>
        <w:br/>
        <w:t>ОАО «</w:t>
      </w:r>
      <w:proofErr w:type="spellStart"/>
      <w:r w:rsidRPr="00282AB7">
        <w:rPr>
          <w:sz w:val="26"/>
          <w:szCs w:val="26"/>
        </w:rPr>
        <w:t>Соломбальский</w:t>
      </w:r>
      <w:proofErr w:type="spellEnd"/>
      <w:r w:rsidRPr="00282AB7">
        <w:rPr>
          <w:sz w:val="26"/>
          <w:szCs w:val="26"/>
        </w:rPr>
        <w:t xml:space="preserve"> ЛДК» в связи с банкротством, что отрицательным образом отразилось на объемах производства пиломатериалов в целом по ЛПК региона.</w:t>
      </w:r>
    </w:p>
    <w:p w:rsidR="00FD1DE2" w:rsidRPr="00282AB7" w:rsidRDefault="00FD1DE2" w:rsidP="001F2CA8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282AB7">
        <w:rPr>
          <w:sz w:val="26"/>
          <w:szCs w:val="26"/>
        </w:rPr>
        <w:t>В 2016 году прогнозируется рост производства пиломатериалов, фанеры, гранул топливных к 2015 году. Продолжат наращивать объемы производства пиломатериалов ООО «</w:t>
      </w:r>
      <w:proofErr w:type="spellStart"/>
      <w:r w:rsidRPr="00282AB7">
        <w:rPr>
          <w:sz w:val="26"/>
          <w:szCs w:val="26"/>
        </w:rPr>
        <w:t>Устьянский</w:t>
      </w:r>
      <w:proofErr w:type="spellEnd"/>
      <w:r w:rsidRPr="00282AB7">
        <w:rPr>
          <w:sz w:val="26"/>
          <w:szCs w:val="26"/>
        </w:rPr>
        <w:t xml:space="preserve"> ЛПК», ООО «Вельская лесная компания». Увеличит производство гранул топливны</w:t>
      </w:r>
      <w:r w:rsidR="001F2CA8">
        <w:rPr>
          <w:sz w:val="26"/>
          <w:szCs w:val="26"/>
        </w:rPr>
        <w:t>х (</w:t>
      </w:r>
      <w:proofErr w:type="spellStart"/>
      <w:r w:rsidR="001F2CA8">
        <w:rPr>
          <w:sz w:val="26"/>
          <w:szCs w:val="26"/>
        </w:rPr>
        <w:t>пеллет</w:t>
      </w:r>
      <w:proofErr w:type="spellEnd"/>
      <w:r w:rsidR="001F2CA8">
        <w:rPr>
          <w:sz w:val="26"/>
          <w:szCs w:val="26"/>
        </w:rPr>
        <w:t>) ЗАО «</w:t>
      </w:r>
      <w:proofErr w:type="spellStart"/>
      <w:r w:rsidR="001F2CA8">
        <w:rPr>
          <w:sz w:val="26"/>
          <w:szCs w:val="26"/>
        </w:rPr>
        <w:t>Лезозавод</w:t>
      </w:r>
      <w:proofErr w:type="spellEnd"/>
      <w:r w:rsidR="001F2CA8">
        <w:rPr>
          <w:sz w:val="26"/>
          <w:szCs w:val="26"/>
        </w:rPr>
        <w:t xml:space="preserve"> 25»</w:t>
      </w:r>
      <w:r w:rsidR="00861FF7">
        <w:rPr>
          <w:sz w:val="26"/>
          <w:szCs w:val="26"/>
        </w:rPr>
        <w:t xml:space="preserve"> </w:t>
      </w:r>
      <w:r w:rsidR="00861FF7" w:rsidRPr="00861FF7">
        <w:rPr>
          <w:spacing w:val="-6"/>
          <w:sz w:val="26"/>
          <w:szCs w:val="26"/>
        </w:rPr>
        <w:t>и ОАО «</w:t>
      </w:r>
      <w:proofErr w:type="spellStart"/>
      <w:r w:rsidR="00861FF7" w:rsidRPr="00861FF7">
        <w:rPr>
          <w:spacing w:val="-6"/>
          <w:sz w:val="26"/>
          <w:szCs w:val="26"/>
        </w:rPr>
        <w:t>Бионет</w:t>
      </w:r>
      <w:proofErr w:type="spellEnd"/>
      <w:r w:rsidR="00861FF7" w:rsidRPr="00861FF7">
        <w:rPr>
          <w:spacing w:val="-6"/>
          <w:sz w:val="26"/>
          <w:szCs w:val="26"/>
        </w:rPr>
        <w:t>»</w:t>
      </w:r>
      <w:r w:rsidR="001F2CA8">
        <w:rPr>
          <w:sz w:val="26"/>
          <w:szCs w:val="26"/>
        </w:rPr>
        <w:t xml:space="preserve">. </w:t>
      </w:r>
      <w:r w:rsidRPr="00282AB7">
        <w:rPr>
          <w:sz w:val="26"/>
          <w:szCs w:val="26"/>
        </w:rPr>
        <w:t>В 2017-2018 годах прогнозируется увеличение выпуска пиломатериалов и фанеры, производство гранул топливных (</w:t>
      </w:r>
      <w:proofErr w:type="spellStart"/>
      <w:r w:rsidRPr="00282AB7">
        <w:rPr>
          <w:sz w:val="26"/>
          <w:szCs w:val="26"/>
        </w:rPr>
        <w:t>пеллет</w:t>
      </w:r>
      <w:proofErr w:type="spellEnd"/>
      <w:r w:rsidRPr="00282AB7">
        <w:rPr>
          <w:sz w:val="26"/>
          <w:szCs w:val="26"/>
        </w:rPr>
        <w:t>) останется на уровне 2016 года.</w:t>
      </w:r>
    </w:p>
    <w:p w:rsidR="00FD1DE2" w:rsidRPr="00282AB7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282AB7">
        <w:rPr>
          <w:sz w:val="26"/>
          <w:szCs w:val="26"/>
        </w:rPr>
        <w:t>ООО «</w:t>
      </w:r>
      <w:proofErr w:type="spellStart"/>
      <w:r w:rsidRPr="00282AB7">
        <w:rPr>
          <w:sz w:val="26"/>
          <w:szCs w:val="26"/>
        </w:rPr>
        <w:t>Устьянский</w:t>
      </w:r>
      <w:proofErr w:type="spellEnd"/>
      <w:r w:rsidRPr="00282AB7">
        <w:rPr>
          <w:sz w:val="26"/>
          <w:szCs w:val="26"/>
        </w:rPr>
        <w:t xml:space="preserve"> ЛПК», ООО «Вельская лесная компания» прогнозируют дальнейшее увеличение объемов производства пиломатериалов, </w:t>
      </w:r>
      <w:r w:rsidR="00282AB7" w:rsidRPr="00282AB7">
        <w:rPr>
          <w:sz w:val="26"/>
          <w:szCs w:val="26"/>
        </w:rPr>
        <w:br/>
      </w:r>
      <w:r w:rsidRPr="00282AB7">
        <w:rPr>
          <w:sz w:val="26"/>
          <w:szCs w:val="26"/>
        </w:rPr>
        <w:t xml:space="preserve">ОАО «Архангельский фанерный завод» </w:t>
      </w:r>
      <w:r w:rsidR="00F65B7B">
        <w:rPr>
          <w:sz w:val="26"/>
          <w:szCs w:val="26"/>
        </w:rPr>
        <w:t xml:space="preserve">- </w:t>
      </w:r>
      <w:r w:rsidRPr="00282AB7">
        <w:rPr>
          <w:sz w:val="26"/>
          <w:szCs w:val="26"/>
        </w:rPr>
        <w:t>фанеры.</w:t>
      </w:r>
    </w:p>
    <w:p w:rsidR="00FD1DE2" w:rsidRPr="00282AB7" w:rsidRDefault="00FD1DE2" w:rsidP="001F2CA8">
      <w:pPr>
        <w:pStyle w:val="4"/>
        <w:spacing w:after="0" w:line="288" w:lineRule="auto"/>
        <w:jc w:val="both"/>
        <w:rPr>
          <w:sz w:val="26"/>
          <w:szCs w:val="26"/>
        </w:rPr>
      </w:pPr>
      <w:r w:rsidRPr="00282AB7">
        <w:rPr>
          <w:sz w:val="26"/>
          <w:szCs w:val="26"/>
        </w:rPr>
        <w:t>Целлюлозно-бумажное производство, издательская и полиграфическая деятельность.</w:t>
      </w:r>
    </w:p>
    <w:p w:rsidR="00FD1DE2" w:rsidRPr="00282AB7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282AB7">
        <w:rPr>
          <w:sz w:val="26"/>
          <w:szCs w:val="26"/>
        </w:rPr>
        <w:t xml:space="preserve">В 2014 году объем отгруженных товаров составил 47,7 млрд. рублей, индекс производства – 105,0%. </w:t>
      </w:r>
    </w:p>
    <w:p w:rsidR="00FD1DE2" w:rsidRPr="00282AB7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282AB7">
        <w:rPr>
          <w:sz w:val="26"/>
          <w:szCs w:val="26"/>
        </w:rPr>
        <w:t xml:space="preserve">Основной объем продукции целлюлозно-бумажного производства области сосредоточен на двух целлюлозно-бумажных комбинатах: ОАО «Архангельский ЦБК», филиал ОАО «Группа Илим» в </w:t>
      </w:r>
      <w:proofErr w:type="gramStart"/>
      <w:r w:rsidRPr="00282AB7">
        <w:rPr>
          <w:sz w:val="26"/>
          <w:szCs w:val="26"/>
        </w:rPr>
        <w:t>г</w:t>
      </w:r>
      <w:proofErr w:type="gramEnd"/>
      <w:r w:rsidRPr="00282AB7">
        <w:rPr>
          <w:sz w:val="26"/>
          <w:szCs w:val="26"/>
        </w:rPr>
        <w:t xml:space="preserve">. Коряжме. Предприятия производят целлюлозу древесную и целлюлозу из прочих волокнистых материалов, бумагу, картон. </w:t>
      </w:r>
    </w:p>
    <w:p w:rsidR="00FD1DE2" w:rsidRPr="00282AB7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282AB7">
        <w:rPr>
          <w:sz w:val="26"/>
          <w:szCs w:val="26"/>
        </w:rPr>
        <w:t>В отчетном и прогнозируемом периоде динамика отгруженной продукции и производства основных видов продукции по виду деятельности целлюлозно-бумажное производство положительная.</w:t>
      </w:r>
    </w:p>
    <w:p w:rsidR="00FD1DE2" w:rsidRPr="00282AB7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282AB7">
        <w:rPr>
          <w:sz w:val="26"/>
          <w:szCs w:val="26"/>
        </w:rPr>
        <w:t xml:space="preserve">В 2015 году </w:t>
      </w:r>
      <w:r w:rsidR="00282AB7" w:rsidRPr="00282AB7">
        <w:rPr>
          <w:sz w:val="26"/>
          <w:szCs w:val="26"/>
        </w:rPr>
        <w:t>ожидается</w:t>
      </w:r>
      <w:r w:rsidRPr="00282AB7">
        <w:rPr>
          <w:sz w:val="26"/>
          <w:szCs w:val="26"/>
        </w:rPr>
        <w:t xml:space="preserve"> увеличение объемов производства бумаги к уровню </w:t>
      </w:r>
      <w:r w:rsidRPr="00282AB7">
        <w:rPr>
          <w:sz w:val="26"/>
          <w:szCs w:val="26"/>
        </w:rPr>
        <w:br/>
        <w:t>2014 года, производство целлюлозы товарной и картона сохранится на уровне прошлого года. ОАО «Архангельский ЦБК» увеличит объемы производства целлюлозы товарной и бумаги, с одновременным снижением объемов производства картона в связи с реконструкцией картонно-бумажного производства</w:t>
      </w:r>
      <w:r w:rsidR="002D642D" w:rsidRPr="00282AB7">
        <w:rPr>
          <w:sz w:val="26"/>
          <w:szCs w:val="26"/>
        </w:rPr>
        <w:t xml:space="preserve">. </w:t>
      </w:r>
      <w:r w:rsidR="004D367B">
        <w:rPr>
          <w:sz w:val="26"/>
          <w:szCs w:val="26"/>
        </w:rPr>
        <w:br/>
      </w:r>
      <w:r w:rsidR="002D642D" w:rsidRPr="00282AB7">
        <w:rPr>
          <w:sz w:val="26"/>
          <w:szCs w:val="26"/>
        </w:rPr>
        <w:t xml:space="preserve">Филиал ОАО «Группа Илим» </w:t>
      </w:r>
      <w:r w:rsidRPr="00282AB7">
        <w:rPr>
          <w:sz w:val="26"/>
          <w:szCs w:val="26"/>
        </w:rPr>
        <w:t xml:space="preserve">в </w:t>
      </w:r>
      <w:proofErr w:type="gramStart"/>
      <w:r w:rsidRPr="00282AB7">
        <w:rPr>
          <w:sz w:val="26"/>
          <w:szCs w:val="26"/>
        </w:rPr>
        <w:t>г</w:t>
      </w:r>
      <w:proofErr w:type="gramEnd"/>
      <w:r w:rsidRPr="00282AB7">
        <w:rPr>
          <w:sz w:val="26"/>
          <w:szCs w:val="26"/>
        </w:rPr>
        <w:t>. Коряжме продолжит наращивать объемы производства бумаги и картона, уменьшив выпуск целлюлозы товарной.</w:t>
      </w:r>
    </w:p>
    <w:p w:rsidR="00FD1DE2" w:rsidRPr="00282AB7" w:rsidRDefault="00FD1DE2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282AB7">
        <w:rPr>
          <w:sz w:val="26"/>
          <w:szCs w:val="26"/>
        </w:rPr>
        <w:lastRenderedPageBreak/>
        <w:t xml:space="preserve">В 2016 году прогнозируется рост производства целлюлозы товарной к 2015 году, производство бумаги и картона сохранится на уровне 2015 года. </w:t>
      </w:r>
      <w:r w:rsidR="004D367B">
        <w:rPr>
          <w:sz w:val="26"/>
          <w:szCs w:val="26"/>
        </w:rPr>
        <w:br/>
      </w:r>
      <w:r w:rsidRPr="00282AB7">
        <w:rPr>
          <w:sz w:val="26"/>
          <w:szCs w:val="26"/>
        </w:rPr>
        <w:t xml:space="preserve">ОАО «Архангельский ЦБК» увеличит объемы производства картона, сохранив производство целлюлозы товарной и бумаги на уровне 2015 года. </w:t>
      </w:r>
      <w:r w:rsidR="004D367B">
        <w:rPr>
          <w:sz w:val="26"/>
          <w:szCs w:val="26"/>
        </w:rPr>
        <w:br/>
      </w:r>
      <w:r w:rsidRPr="00282AB7">
        <w:rPr>
          <w:sz w:val="26"/>
          <w:szCs w:val="26"/>
        </w:rPr>
        <w:t xml:space="preserve">Филиал ОАО «Группа Илим» в </w:t>
      </w:r>
      <w:proofErr w:type="gramStart"/>
      <w:r w:rsidRPr="00282AB7">
        <w:rPr>
          <w:sz w:val="26"/>
          <w:szCs w:val="26"/>
        </w:rPr>
        <w:t>г</w:t>
      </w:r>
      <w:proofErr w:type="gramEnd"/>
      <w:r w:rsidRPr="00282AB7">
        <w:rPr>
          <w:sz w:val="26"/>
          <w:szCs w:val="26"/>
        </w:rPr>
        <w:t>. Коряжме увеличит объемы производства целлюлозы товарной, с одновременным снижением продукции картонной группы, выпуск бумаги сохранится на уровне 2015 года</w:t>
      </w:r>
      <w:r w:rsidR="004D367B">
        <w:rPr>
          <w:sz w:val="26"/>
          <w:szCs w:val="26"/>
        </w:rPr>
        <w:t>.</w:t>
      </w:r>
    </w:p>
    <w:p w:rsidR="00FD1DE2" w:rsidRPr="001F2CA8" w:rsidRDefault="00FD1DE2" w:rsidP="00D94221">
      <w:pPr>
        <w:pStyle w:val="21"/>
        <w:spacing w:after="0" w:line="288" w:lineRule="auto"/>
        <w:ind w:firstLine="709"/>
        <w:jc w:val="both"/>
        <w:rPr>
          <w:spacing w:val="-4"/>
          <w:sz w:val="26"/>
          <w:szCs w:val="26"/>
        </w:rPr>
      </w:pPr>
      <w:r w:rsidRPr="001F2CA8">
        <w:rPr>
          <w:spacing w:val="-4"/>
          <w:sz w:val="26"/>
          <w:szCs w:val="26"/>
        </w:rPr>
        <w:t xml:space="preserve">Прогноз развития ситуации в 2017-2018 годах. ОАО «Архангельский ЦБК» </w:t>
      </w:r>
      <w:r w:rsidR="001F2CA8">
        <w:rPr>
          <w:spacing w:val="-4"/>
          <w:sz w:val="26"/>
          <w:szCs w:val="26"/>
        </w:rPr>
        <w:br/>
      </w:r>
      <w:r w:rsidRPr="001F2CA8">
        <w:rPr>
          <w:spacing w:val="-4"/>
          <w:sz w:val="26"/>
          <w:szCs w:val="26"/>
        </w:rPr>
        <w:t xml:space="preserve">в 2017 году сохранит объемы производства на уровне 2016 года. В 2018 выпуск целлюлозы товарной и бумаги сохранится на уровне 2017 года, объемы производства картона снизятся на 10% к уровню 2017 года, в связи с реконструкцией картонно-бумажного производства. Филиал ОАО «Группа Илим» в </w:t>
      </w:r>
      <w:proofErr w:type="gramStart"/>
      <w:r w:rsidRPr="001F2CA8">
        <w:rPr>
          <w:spacing w:val="-4"/>
          <w:sz w:val="26"/>
          <w:szCs w:val="26"/>
        </w:rPr>
        <w:t>г</w:t>
      </w:r>
      <w:proofErr w:type="gramEnd"/>
      <w:r w:rsidRPr="001F2CA8">
        <w:rPr>
          <w:spacing w:val="-4"/>
          <w:sz w:val="26"/>
          <w:szCs w:val="26"/>
        </w:rPr>
        <w:t xml:space="preserve">. Коряжме в 2017 и 2018 года планирует наращивать объемы производства продукции. </w:t>
      </w:r>
    </w:p>
    <w:p w:rsidR="00FD1DE2" w:rsidRPr="001C3210" w:rsidRDefault="00FD1DE2" w:rsidP="001F2CA8">
      <w:pPr>
        <w:pStyle w:val="3"/>
        <w:spacing w:after="0" w:line="288" w:lineRule="auto"/>
        <w:rPr>
          <w:sz w:val="26"/>
          <w:szCs w:val="26"/>
        </w:rPr>
      </w:pPr>
      <w:r w:rsidRPr="001C3210">
        <w:rPr>
          <w:sz w:val="26"/>
          <w:szCs w:val="26"/>
        </w:rPr>
        <w:t>Производство и распределение электроэнергии, газа и воды (раздел - Е).</w:t>
      </w:r>
    </w:p>
    <w:p w:rsidR="00FD1DE2" w:rsidRPr="001C3210" w:rsidRDefault="00FD1DE2" w:rsidP="00D94221">
      <w:pPr>
        <w:widowControl w:val="0"/>
        <w:spacing w:line="288" w:lineRule="auto"/>
        <w:ind w:firstLine="709"/>
        <w:jc w:val="both"/>
        <w:rPr>
          <w:sz w:val="26"/>
          <w:szCs w:val="26"/>
        </w:rPr>
      </w:pPr>
      <w:r w:rsidRPr="001C3210">
        <w:rPr>
          <w:sz w:val="26"/>
          <w:szCs w:val="26"/>
        </w:rPr>
        <w:t xml:space="preserve">В 2014 году индекс производства по виду деятельности в целом составил 100,1%, объем отгруженных товаров – 29,1 млрд. рублей. В 2015 году объем отгруженных товаров оценивается в </w:t>
      </w:r>
      <w:r w:rsidR="009D0760" w:rsidRPr="001C3210">
        <w:rPr>
          <w:sz w:val="26"/>
          <w:szCs w:val="26"/>
        </w:rPr>
        <w:t>31,7</w:t>
      </w:r>
      <w:r w:rsidRPr="001C3210">
        <w:rPr>
          <w:sz w:val="26"/>
          <w:szCs w:val="26"/>
        </w:rPr>
        <w:t xml:space="preserve"> млрд. рублей, индекс производства - </w:t>
      </w:r>
      <w:r w:rsidR="001C3210" w:rsidRPr="001C3210">
        <w:rPr>
          <w:sz w:val="26"/>
          <w:szCs w:val="26"/>
        </w:rPr>
        <w:br/>
      </w:r>
      <w:r w:rsidRPr="001C3210">
        <w:rPr>
          <w:sz w:val="26"/>
          <w:szCs w:val="26"/>
        </w:rPr>
        <w:t>в 99,8%. В 2016 году индекс производства составит 100,</w:t>
      </w:r>
      <w:r w:rsidR="009D0760" w:rsidRPr="001C3210">
        <w:rPr>
          <w:sz w:val="26"/>
          <w:szCs w:val="26"/>
        </w:rPr>
        <w:t>4</w:t>
      </w:r>
      <w:r w:rsidRPr="001C3210">
        <w:rPr>
          <w:sz w:val="26"/>
          <w:szCs w:val="26"/>
        </w:rPr>
        <w:t>%-100,</w:t>
      </w:r>
      <w:r w:rsidR="009D0760" w:rsidRPr="001C3210">
        <w:rPr>
          <w:sz w:val="26"/>
          <w:szCs w:val="26"/>
        </w:rPr>
        <w:t>8</w:t>
      </w:r>
      <w:r w:rsidRPr="001C3210">
        <w:rPr>
          <w:sz w:val="26"/>
          <w:szCs w:val="26"/>
        </w:rPr>
        <w:t>%, в 2017 году – 100,</w:t>
      </w:r>
      <w:r w:rsidR="009D0760" w:rsidRPr="001C3210">
        <w:rPr>
          <w:sz w:val="26"/>
          <w:szCs w:val="26"/>
        </w:rPr>
        <w:t>7</w:t>
      </w:r>
      <w:r w:rsidRPr="001C3210">
        <w:rPr>
          <w:sz w:val="26"/>
          <w:szCs w:val="26"/>
        </w:rPr>
        <w:t>%-10</w:t>
      </w:r>
      <w:r w:rsidR="009D0760" w:rsidRPr="001C3210">
        <w:rPr>
          <w:sz w:val="26"/>
          <w:szCs w:val="26"/>
        </w:rPr>
        <w:t>1,1</w:t>
      </w:r>
      <w:r w:rsidRPr="001C3210">
        <w:rPr>
          <w:sz w:val="26"/>
          <w:szCs w:val="26"/>
        </w:rPr>
        <w:t>%, в 2018 году – 10</w:t>
      </w:r>
      <w:r w:rsidR="009D0760" w:rsidRPr="001C3210">
        <w:rPr>
          <w:sz w:val="26"/>
          <w:szCs w:val="26"/>
        </w:rPr>
        <w:t>1,0%-101,5</w:t>
      </w:r>
      <w:r w:rsidRPr="001C3210">
        <w:rPr>
          <w:sz w:val="26"/>
          <w:szCs w:val="26"/>
        </w:rPr>
        <w:t>%.</w:t>
      </w:r>
    </w:p>
    <w:p w:rsidR="009D0760" w:rsidRPr="001C3210" w:rsidRDefault="009D0760" w:rsidP="00D94221">
      <w:pPr>
        <w:widowControl w:val="0"/>
        <w:spacing w:line="288" w:lineRule="auto"/>
        <w:ind w:firstLine="709"/>
        <w:jc w:val="both"/>
        <w:rPr>
          <w:sz w:val="26"/>
          <w:szCs w:val="26"/>
        </w:rPr>
      </w:pPr>
      <w:r w:rsidRPr="001C3210">
        <w:rPr>
          <w:sz w:val="26"/>
          <w:szCs w:val="26"/>
        </w:rPr>
        <w:t xml:space="preserve">Архангельская область является </w:t>
      </w:r>
      <w:proofErr w:type="spellStart"/>
      <w:r w:rsidRPr="001C3210">
        <w:rPr>
          <w:sz w:val="26"/>
          <w:szCs w:val="26"/>
        </w:rPr>
        <w:t>энергодефицитным</w:t>
      </w:r>
      <w:proofErr w:type="spellEnd"/>
      <w:r w:rsidRPr="001C3210">
        <w:rPr>
          <w:sz w:val="26"/>
          <w:szCs w:val="26"/>
        </w:rPr>
        <w:t xml:space="preserve"> регионом. В 2014 году производство электроэнергии в области составило 6</w:t>
      </w:r>
      <w:r w:rsidR="00625554" w:rsidRPr="001C3210">
        <w:rPr>
          <w:sz w:val="26"/>
          <w:szCs w:val="26"/>
        </w:rPr>
        <w:t> </w:t>
      </w:r>
      <w:r w:rsidRPr="001C3210">
        <w:rPr>
          <w:sz w:val="26"/>
          <w:szCs w:val="26"/>
        </w:rPr>
        <w:t>623,4 млн. кВт</w:t>
      </w:r>
      <w:r w:rsidR="00861FF7" w:rsidRPr="001C3210">
        <w:rPr>
          <w:sz w:val="26"/>
          <w:szCs w:val="26"/>
        </w:rPr>
        <w:t>·</w:t>
      </w:r>
      <w:proofErr w:type="gramStart"/>
      <w:r w:rsidRPr="001C3210">
        <w:rPr>
          <w:sz w:val="26"/>
          <w:szCs w:val="26"/>
        </w:rPr>
        <w:t>ч</w:t>
      </w:r>
      <w:proofErr w:type="gramEnd"/>
      <w:r w:rsidRPr="001C3210">
        <w:rPr>
          <w:sz w:val="26"/>
          <w:szCs w:val="26"/>
        </w:rPr>
        <w:t xml:space="preserve">, </w:t>
      </w:r>
      <w:r w:rsidR="00625554" w:rsidRPr="001C3210">
        <w:rPr>
          <w:sz w:val="26"/>
          <w:szCs w:val="26"/>
        </w:rPr>
        <w:t xml:space="preserve">потребление </w:t>
      </w:r>
      <w:r w:rsidRPr="001C3210">
        <w:rPr>
          <w:sz w:val="26"/>
          <w:szCs w:val="26"/>
        </w:rPr>
        <w:t>составило 8</w:t>
      </w:r>
      <w:r w:rsidR="00625554" w:rsidRPr="001C3210">
        <w:rPr>
          <w:sz w:val="26"/>
          <w:szCs w:val="26"/>
        </w:rPr>
        <w:t> </w:t>
      </w:r>
      <w:r w:rsidRPr="001C3210">
        <w:rPr>
          <w:sz w:val="26"/>
          <w:szCs w:val="26"/>
        </w:rPr>
        <w:t xml:space="preserve">237,8 млн. кВт·ч. </w:t>
      </w:r>
    </w:p>
    <w:p w:rsidR="009D0760" w:rsidRPr="001C3210" w:rsidRDefault="009D0760" w:rsidP="00D94221">
      <w:pPr>
        <w:widowControl w:val="0"/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1C3210">
        <w:rPr>
          <w:sz w:val="26"/>
          <w:szCs w:val="26"/>
        </w:rPr>
        <w:t>Ожидается, что к концу 2018 года электропотребление в Архангельской области достигнет уровня 8</w:t>
      </w:r>
      <w:r w:rsidR="00625554" w:rsidRPr="001C3210">
        <w:rPr>
          <w:sz w:val="26"/>
          <w:szCs w:val="26"/>
        </w:rPr>
        <w:t> </w:t>
      </w:r>
      <w:r w:rsidRPr="001C3210">
        <w:rPr>
          <w:sz w:val="26"/>
          <w:szCs w:val="26"/>
        </w:rPr>
        <w:t>395,1 млн. кВт</w:t>
      </w:r>
      <w:r w:rsidR="00861FF7" w:rsidRPr="001C3210">
        <w:rPr>
          <w:sz w:val="26"/>
          <w:szCs w:val="26"/>
        </w:rPr>
        <w:t>·</w:t>
      </w:r>
      <w:r w:rsidRPr="001C3210">
        <w:rPr>
          <w:sz w:val="26"/>
          <w:szCs w:val="26"/>
        </w:rPr>
        <w:t xml:space="preserve">ч, а производство электроэнергии </w:t>
      </w:r>
      <w:r w:rsidR="00625554" w:rsidRPr="001C3210">
        <w:rPr>
          <w:sz w:val="26"/>
          <w:szCs w:val="26"/>
        </w:rPr>
        <w:t xml:space="preserve">прогнозируется на </w:t>
      </w:r>
      <w:r w:rsidRPr="001C3210">
        <w:rPr>
          <w:sz w:val="26"/>
          <w:szCs w:val="26"/>
        </w:rPr>
        <w:t>уровн</w:t>
      </w:r>
      <w:r w:rsidR="00625554" w:rsidRPr="001C3210">
        <w:rPr>
          <w:sz w:val="26"/>
          <w:szCs w:val="26"/>
        </w:rPr>
        <w:t>е</w:t>
      </w:r>
      <w:r w:rsidRPr="001C3210">
        <w:rPr>
          <w:sz w:val="26"/>
          <w:szCs w:val="26"/>
        </w:rPr>
        <w:t xml:space="preserve"> </w:t>
      </w:r>
      <w:r w:rsidR="00861FF7">
        <w:rPr>
          <w:sz w:val="26"/>
          <w:szCs w:val="26"/>
        </w:rPr>
        <w:t xml:space="preserve">6 749,9 </w:t>
      </w:r>
      <w:r w:rsidRPr="001C3210">
        <w:rPr>
          <w:sz w:val="26"/>
          <w:szCs w:val="26"/>
        </w:rPr>
        <w:t>млн. кВт</w:t>
      </w:r>
      <w:r w:rsidR="00861FF7" w:rsidRPr="001C3210">
        <w:rPr>
          <w:sz w:val="26"/>
          <w:szCs w:val="26"/>
        </w:rPr>
        <w:t>·</w:t>
      </w:r>
      <w:r w:rsidRPr="001C3210">
        <w:rPr>
          <w:sz w:val="26"/>
          <w:szCs w:val="26"/>
        </w:rPr>
        <w:t xml:space="preserve">ч. При этом дефицит электроэнергии </w:t>
      </w:r>
      <w:r w:rsidR="001C3210" w:rsidRPr="001C3210">
        <w:rPr>
          <w:sz w:val="26"/>
          <w:szCs w:val="26"/>
        </w:rPr>
        <w:br/>
      </w:r>
      <w:r w:rsidRPr="001C3210">
        <w:rPr>
          <w:sz w:val="26"/>
          <w:szCs w:val="26"/>
        </w:rPr>
        <w:t xml:space="preserve">в области, покрываемый за счет </w:t>
      </w:r>
      <w:proofErr w:type="spellStart"/>
      <w:r w:rsidRPr="001C3210">
        <w:rPr>
          <w:sz w:val="26"/>
          <w:szCs w:val="26"/>
        </w:rPr>
        <w:t>перетоков</w:t>
      </w:r>
      <w:proofErr w:type="spellEnd"/>
      <w:r w:rsidRPr="001C3210">
        <w:rPr>
          <w:sz w:val="26"/>
          <w:szCs w:val="26"/>
        </w:rPr>
        <w:t xml:space="preserve"> из соседних региональных энергосистем, по сравнению с 2014 годом </w:t>
      </w:r>
      <w:r w:rsidR="00625554" w:rsidRPr="001C3210">
        <w:rPr>
          <w:sz w:val="26"/>
          <w:szCs w:val="26"/>
        </w:rPr>
        <w:t xml:space="preserve">возрастёт </w:t>
      </w:r>
      <w:r w:rsidRPr="001C3210">
        <w:rPr>
          <w:sz w:val="26"/>
          <w:szCs w:val="26"/>
        </w:rPr>
        <w:t>и составит 1</w:t>
      </w:r>
      <w:r w:rsidR="00861FF7">
        <w:rPr>
          <w:sz w:val="26"/>
          <w:szCs w:val="26"/>
        </w:rPr>
        <w:t> 645,2</w:t>
      </w:r>
      <w:r w:rsidRPr="001C3210">
        <w:rPr>
          <w:sz w:val="26"/>
          <w:szCs w:val="26"/>
        </w:rPr>
        <w:t xml:space="preserve"> млн. кВт</w:t>
      </w:r>
      <w:r w:rsidR="00861FF7" w:rsidRPr="001C3210">
        <w:rPr>
          <w:sz w:val="26"/>
          <w:szCs w:val="26"/>
        </w:rPr>
        <w:t>·</w:t>
      </w:r>
      <w:r w:rsidRPr="001C3210">
        <w:rPr>
          <w:sz w:val="26"/>
          <w:szCs w:val="26"/>
        </w:rPr>
        <w:t>ч.</w:t>
      </w:r>
      <w:proofErr w:type="gramEnd"/>
    </w:p>
    <w:p w:rsidR="0020073A" w:rsidRPr="001C3210" w:rsidRDefault="0020073A" w:rsidP="00252AA1">
      <w:pPr>
        <w:pStyle w:val="1"/>
        <w:spacing w:before="120" w:after="0"/>
        <w:rPr>
          <w:rFonts w:eastAsia="Times New Roman"/>
          <w:szCs w:val="26"/>
        </w:rPr>
      </w:pPr>
      <w:r w:rsidRPr="001C3210">
        <w:rPr>
          <w:rFonts w:eastAsia="Times New Roman"/>
          <w:szCs w:val="26"/>
        </w:rPr>
        <w:t>Сельское хозяйство</w:t>
      </w:r>
      <w:r w:rsidR="008C0FF0">
        <w:rPr>
          <w:rFonts w:eastAsia="Times New Roman"/>
          <w:szCs w:val="26"/>
        </w:rPr>
        <w:t>.</w:t>
      </w:r>
    </w:p>
    <w:p w:rsidR="002F7F6C" w:rsidRPr="001C3210" w:rsidRDefault="002F7F6C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1C3210">
        <w:rPr>
          <w:sz w:val="26"/>
          <w:szCs w:val="26"/>
        </w:rPr>
        <w:t>Объём производства продукции сельского хозяйст</w:t>
      </w:r>
      <w:r w:rsidR="00D94221" w:rsidRPr="001C3210">
        <w:rPr>
          <w:sz w:val="26"/>
          <w:szCs w:val="26"/>
        </w:rPr>
        <w:t xml:space="preserve">ва в хозяйствах всех категорий </w:t>
      </w:r>
      <w:r w:rsidRPr="001C3210">
        <w:rPr>
          <w:sz w:val="26"/>
          <w:szCs w:val="26"/>
        </w:rPr>
        <w:t xml:space="preserve">в 2014 году составил 11,7 млрд. рублей, что на 2,8% больше, чем </w:t>
      </w:r>
      <w:r w:rsidR="001B29ED">
        <w:rPr>
          <w:sz w:val="26"/>
          <w:szCs w:val="26"/>
        </w:rPr>
        <w:br/>
      </w:r>
      <w:r w:rsidRPr="001C3210">
        <w:rPr>
          <w:sz w:val="26"/>
          <w:szCs w:val="26"/>
        </w:rPr>
        <w:t xml:space="preserve">в 2013 году. </w:t>
      </w:r>
    </w:p>
    <w:p w:rsidR="002F7F6C" w:rsidRPr="001C3210" w:rsidRDefault="002F7F6C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1C3210">
        <w:rPr>
          <w:sz w:val="26"/>
          <w:szCs w:val="26"/>
        </w:rPr>
        <w:t>В настоящее время в отрасли отмечено снижение объёмов производства мяса и яиц. На значительное снижение объемов производства продукции животноводства повлияло прекращение в начале 2015 года деятельност</w:t>
      </w:r>
      <w:proofErr w:type="gramStart"/>
      <w:r w:rsidRPr="001C3210">
        <w:rPr>
          <w:sz w:val="26"/>
          <w:szCs w:val="26"/>
        </w:rPr>
        <w:t xml:space="preserve">и </w:t>
      </w:r>
      <w:r w:rsidR="001C3210">
        <w:rPr>
          <w:sz w:val="26"/>
          <w:szCs w:val="26"/>
        </w:rPr>
        <w:br/>
      </w:r>
      <w:r w:rsidRPr="001C3210">
        <w:rPr>
          <w:sz w:val="26"/>
          <w:szCs w:val="26"/>
        </w:rPr>
        <w:t>ООО</w:t>
      </w:r>
      <w:proofErr w:type="gramEnd"/>
      <w:r w:rsidRPr="001C3210">
        <w:rPr>
          <w:sz w:val="26"/>
          <w:szCs w:val="26"/>
        </w:rPr>
        <w:t xml:space="preserve"> «Вельская птицефабрика</w:t>
      </w:r>
      <w:r w:rsidR="000938E3" w:rsidRPr="001C3210">
        <w:rPr>
          <w:sz w:val="26"/>
          <w:szCs w:val="26"/>
        </w:rPr>
        <w:t>»</w:t>
      </w:r>
      <w:r w:rsidRPr="001C3210">
        <w:rPr>
          <w:sz w:val="26"/>
          <w:szCs w:val="26"/>
        </w:rPr>
        <w:t xml:space="preserve"> (</w:t>
      </w:r>
      <w:r w:rsidR="00861FF7">
        <w:rPr>
          <w:sz w:val="26"/>
          <w:szCs w:val="26"/>
        </w:rPr>
        <w:t xml:space="preserve">ранее </w:t>
      </w:r>
      <w:r w:rsidRPr="001C3210">
        <w:rPr>
          <w:sz w:val="26"/>
          <w:szCs w:val="26"/>
        </w:rPr>
        <w:t xml:space="preserve">основной производитель яиц и мяса птицы </w:t>
      </w:r>
      <w:r w:rsidR="00252AA1">
        <w:rPr>
          <w:sz w:val="26"/>
          <w:szCs w:val="26"/>
        </w:rPr>
        <w:br/>
      </w:r>
      <w:r w:rsidRPr="001C3210">
        <w:rPr>
          <w:sz w:val="26"/>
          <w:szCs w:val="26"/>
        </w:rPr>
        <w:t>в Архангельской области) и ОАО «</w:t>
      </w:r>
      <w:proofErr w:type="spellStart"/>
      <w:r w:rsidRPr="001C3210">
        <w:rPr>
          <w:sz w:val="26"/>
          <w:szCs w:val="26"/>
        </w:rPr>
        <w:t>Котласская</w:t>
      </w:r>
      <w:proofErr w:type="spellEnd"/>
      <w:r w:rsidRPr="001C3210">
        <w:rPr>
          <w:sz w:val="26"/>
          <w:szCs w:val="26"/>
        </w:rPr>
        <w:t xml:space="preserve"> птицефабрика</w:t>
      </w:r>
      <w:r w:rsidR="001C3210" w:rsidRPr="001C3210">
        <w:rPr>
          <w:sz w:val="26"/>
          <w:szCs w:val="26"/>
        </w:rPr>
        <w:t>»</w:t>
      </w:r>
      <w:r w:rsidRPr="001C3210">
        <w:rPr>
          <w:sz w:val="26"/>
          <w:szCs w:val="26"/>
        </w:rPr>
        <w:t>.</w:t>
      </w:r>
    </w:p>
    <w:p w:rsidR="00984B1E" w:rsidRDefault="002F7F6C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1C3210">
        <w:rPr>
          <w:sz w:val="26"/>
          <w:szCs w:val="26"/>
        </w:rPr>
        <w:t xml:space="preserve">В прогнозируемом периоде в животноводстве планируется увеличение производства молока в сельскохозяйственных организациях ежегодно на 3-4% </w:t>
      </w:r>
      <w:r w:rsidR="001B29ED">
        <w:rPr>
          <w:sz w:val="26"/>
          <w:szCs w:val="26"/>
        </w:rPr>
        <w:br/>
      </w:r>
      <w:r w:rsidRPr="001C3210">
        <w:rPr>
          <w:sz w:val="26"/>
          <w:szCs w:val="26"/>
        </w:rPr>
        <w:t xml:space="preserve">за счет модернизации производства и ввода в эксплуатацию новых животноводческих объектов. </w:t>
      </w:r>
    </w:p>
    <w:p w:rsidR="002F7F6C" w:rsidRPr="001C3210" w:rsidRDefault="002F7F6C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1C3210">
        <w:rPr>
          <w:sz w:val="26"/>
          <w:szCs w:val="26"/>
        </w:rPr>
        <w:lastRenderedPageBreak/>
        <w:t>Одним из приоритетных направлений дальнейшего развития растениеводства в регионе является картофелеводство. На период 2016-2018 годы планируется увеличение площадей под картофелем на 200 гектаров в коллективных хозяйствах Приморского и Холмогорского районов. В хозяйствах населения идет ежегодное снижение площадей под картофелем и овощами.</w:t>
      </w:r>
    </w:p>
    <w:p w:rsidR="002F7F6C" w:rsidRPr="001C3210" w:rsidRDefault="002F7F6C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1C3210">
        <w:rPr>
          <w:sz w:val="26"/>
          <w:szCs w:val="26"/>
        </w:rPr>
        <w:t>Также предусмотрено развитие овощеводства защищенного грунта. В 2015 году планируется модернизация производства н</w:t>
      </w:r>
      <w:proofErr w:type="gramStart"/>
      <w:r w:rsidRPr="001C3210">
        <w:rPr>
          <w:sz w:val="26"/>
          <w:szCs w:val="26"/>
        </w:rPr>
        <w:t>а ООО</w:t>
      </w:r>
      <w:proofErr w:type="gramEnd"/>
      <w:r w:rsidRPr="001C3210">
        <w:rPr>
          <w:sz w:val="26"/>
          <w:szCs w:val="26"/>
        </w:rPr>
        <w:t xml:space="preserve"> «Северодвинский агрокомбинат», ввод дополнительной площади теплиц в круглогодичное использование, что повысит объем производства овощей защищенного грунта </w:t>
      </w:r>
      <w:r w:rsidR="001B29ED">
        <w:rPr>
          <w:sz w:val="26"/>
          <w:szCs w:val="26"/>
        </w:rPr>
        <w:br/>
      </w:r>
      <w:r w:rsidRPr="001C3210">
        <w:rPr>
          <w:sz w:val="26"/>
          <w:szCs w:val="26"/>
        </w:rPr>
        <w:t>на 13% к 2019 году.</w:t>
      </w:r>
    </w:p>
    <w:p w:rsidR="005C6BD4" w:rsidRPr="00FE49FB" w:rsidRDefault="005C6BD4" w:rsidP="00252AA1">
      <w:pPr>
        <w:pStyle w:val="1"/>
        <w:spacing w:before="120" w:after="0"/>
        <w:rPr>
          <w:rFonts w:eastAsia="Times New Roman"/>
          <w:szCs w:val="26"/>
        </w:rPr>
      </w:pPr>
      <w:r w:rsidRPr="00FE49FB">
        <w:rPr>
          <w:rFonts w:eastAsia="Times New Roman"/>
          <w:szCs w:val="26"/>
        </w:rPr>
        <w:t>Жилищное строительство</w:t>
      </w:r>
      <w:r w:rsidR="008C0FF0">
        <w:rPr>
          <w:rFonts w:eastAsia="Times New Roman"/>
          <w:szCs w:val="26"/>
        </w:rPr>
        <w:t>.</w:t>
      </w:r>
    </w:p>
    <w:p w:rsidR="005C6BD4" w:rsidRPr="00FE49FB" w:rsidRDefault="005C6BD4" w:rsidP="00D94221">
      <w:pPr>
        <w:pStyle w:val="21"/>
        <w:spacing w:after="0" w:line="288" w:lineRule="auto"/>
        <w:ind w:firstLine="709"/>
        <w:jc w:val="both"/>
        <w:rPr>
          <w:sz w:val="26"/>
          <w:szCs w:val="26"/>
        </w:rPr>
      </w:pPr>
      <w:r w:rsidRPr="00FE49FB">
        <w:rPr>
          <w:sz w:val="26"/>
          <w:szCs w:val="26"/>
        </w:rPr>
        <w:t xml:space="preserve">В 2014 году в Архангельской области построены и сданы в эксплуатацию жилые дома общей площадью 321,2 тыс. кв. метра (109,9% к уровню 2013 года). </w:t>
      </w:r>
    </w:p>
    <w:p w:rsidR="005C6BD4" w:rsidRPr="007F00BB" w:rsidRDefault="005C6BD4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7F00BB">
        <w:rPr>
          <w:sz w:val="26"/>
          <w:szCs w:val="26"/>
        </w:rPr>
        <w:t xml:space="preserve">В 2015 году планируется ввести в эксплуатацию </w:t>
      </w:r>
      <w:r w:rsidR="007F00BB" w:rsidRPr="007F00BB">
        <w:rPr>
          <w:sz w:val="26"/>
          <w:szCs w:val="26"/>
        </w:rPr>
        <w:t xml:space="preserve">306,5 </w:t>
      </w:r>
      <w:r w:rsidRPr="007F00BB">
        <w:rPr>
          <w:sz w:val="26"/>
          <w:szCs w:val="26"/>
        </w:rPr>
        <w:t>тыс. кв. метров жилья.</w:t>
      </w:r>
    </w:p>
    <w:p w:rsidR="00FE49FB" w:rsidRPr="00FE49FB" w:rsidRDefault="00FE49FB" w:rsidP="00D94221">
      <w:pPr>
        <w:spacing w:line="288" w:lineRule="auto"/>
        <w:ind w:firstLine="720"/>
        <w:jc w:val="both"/>
        <w:rPr>
          <w:sz w:val="26"/>
          <w:szCs w:val="26"/>
        </w:rPr>
      </w:pPr>
      <w:proofErr w:type="gramStart"/>
      <w:r w:rsidRPr="00FE49FB">
        <w:rPr>
          <w:sz w:val="26"/>
          <w:szCs w:val="26"/>
        </w:rPr>
        <w:t xml:space="preserve">В прогнозируемом периоде объёмы ввода жилья составят в 2016 году – </w:t>
      </w:r>
      <w:r w:rsidR="007F00BB">
        <w:rPr>
          <w:sz w:val="26"/>
          <w:szCs w:val="26"/>
        </w:rPr>
        <w:br/>
      </w:r>
      <w:r w:rsidR="00224338">
        <w:rPr>
          <w:sz w:val="26"/>
          <w:szCs w:val="26"/>
        </w:rPr>
        <w:t>(</w:t>
      </w:r>
      <w:r w:rsidRPr="00FE49FB">
        <w:rPr>
          <w:sz w:val="26"/>
          <w:szCs w:val="26"/>
        </w:rPr>
        <w:t>309,7 – 335,8</w:t>
      </w:r>
      <w:r w:rsidR="00224338">
        <w:rPr>
          <w:sz w:val="26"/>
          <w:szCs w:val="26"/>
        </w:rPr>
        <w:t>)</w:t>
      </w:r>
      <w:r w:rsidRPr="00FE49FB">
        <w:rPr>
          <w:sz w:val="26"/>
          <w:szCs w:val="26"/>
        </w:rPr>
        <w:t xml:space="preserve"> тыс. кв. метров, в 2017 году – </w:t>
      </w:r>
      <w:r w:rsidR="00224338">
        <w:rPr>
          <w:sz w:val="26"/>
          <w:szCs w:val="26"/>
        </w:rPr>
        <w:t>(</w:t>
      </w:r>
      <w:r w:rsidRPr="00FE49FB">
        <w:rPr>
          <w:sz w:val="26"/>
          <w:szCs w:val="26"/>
        </w:rPr>
        <w:t>319</w:t>
      </w:r>
      <w:r w:rsidR="00224338">
        <w:rPr>
          <w:sz w:val="26"/>
          <w:szCs w:val="26"/>
        </w:rPr>
        <w:t>,0</w:t>
      </w:r>
      <w:r w:rsidRPr="00FE49FB">
        <w:rPr>
          <w:sz w:val="26"/>
          <w:szCs w:val="26"/>
        </w:rPr>
        <w:t xml:space="preserve"> – 345,9</w:t>
      </w:r>
      <w:r w:rsidR="00224338">
        <w:rPr>
          <w:sz w:val="26"/>
          <w:szCs w:val="26"/>
        </w:rPr>
        <w:t>)</w:t>
      </w:r>
      <w:r w:rsidRPr="00FE49FB">
        <w:rPr>
          <w:sz w:val="26"/>
          <w:szCs w:val="26"/>
        </w:rPr>
        <w:t xml:space="preserve"> тыс. кв. метров, </w:t>
      </w:r>
      <w:r w:rsidR="007F00BB">
        <w:rPr>
          <w:sz w:val="26"/>
          <w:szCs w:val="26"/>
        </w:rPr>
        <w:br/>
      </w:r>
      <w:bookmarkStart w:id="0" w:name="_GoBack"/>
      <w:bookmarkEnd w:id="0"/>
      <w:r w:rsidRPr="00FE49FB">
        <w:rPr>
          <w:sz w:val="26"/>
          <w:szCs w:val="26"/>
        </w:rPr>
        <w:t xml:space="preserve">в 2018 году – </w:t>
      </w:r>
      <w:r w:rsidR="00224338">
        <w:rPr>
          <w:sz w:val="26"/>
          <w:szCs w:val="26"/>
        </w:rPr>
        <w:t>(</w:t>
      </w:r>
      <w:r w:rsidRPr="00FE49FB">
        <w:rPr>
          <w:sz w:val="26"/>
          <w:szCs w:val="26"/>
        </w:rPr>
        <w:t>328,5 – 356,2</w:t>
      </w:r>
      <w:r w:rsidR="00224338">
        <w:rPr>
          <w:sz w:val="26"/>
          <w:szCs w:val="26"/>
        </w:rPr>
        <w:t>)</w:t>
      </w:r>
      <w:r w:rsidRPr="00FE49FB">
        <w:rPr>
          <w:sz w:val="26"/>
          <w:szCs w:val="26"/>
        </w:rPr>
        <w:t xml:space="preserve"> тыс. кв. метров.</w:t>
      </w:r>
      <w:proofErr w:type="gramEnd"/>
    </w:p>
    <w:p w:rsidR="0020073A" w:rsidRPr="00FE49FB" w:rsidRDefault="0020073A" w:rsidP="00252AA1">
      <w:pPr>
        <w:pStyle w:val="1"/>
        <w:spacing w:before="120" w:after="0"/>
        <w:rPr>
          <w:szCs w:val="26"/>
        </w:rPr>
      </w:pPr>
      <w:r w:rsidRPr="00FE49FB">
        <w:rPr>
          <w:szCs w:val="26"/>
        </w:rPr>
        <w:t>Рынок товаров и услуг</w:t>
      </w:r>
      <w:r w:rsidR="008C0FF0">
        <w:rPr>
          <w:szCs w:val="26"/>
        </w:rPr>
        <w:t>.</w:t>
      </w:r>
    </w:p>
    <w:p w:rsidR="00FE49FB" w:rsidRPr="00FE49FB" w:rsidRDefault="00D94221" w:rsidP="00FE49FB">
      <w:pPr>
        <w:spacing w:line="288" w:lineRule="auto"/>
        <w:ind w:firstLine="720"/>
        <w:jc w:val="both"/>
        <w:rPr>
          <w:sz w:val="26"/>
          <w:szCs w:val="26"/>
        </w:rPr>
      </w:pPr>
      <w:r w:rsidRPr="00FE49FB">
        <w:rPr>
          <w:sz w:val="26"/>
          <w:szCs w:val="26"/>
        </w:rPr>
        <w:t xml:space="preserve">За </w:t>
      </w:r>
      <w:r w:rsidR="00FE49FB" w:rsidRPr="00FE49FB">
        <w:rPr>
          <w:sz w:val="26"/>
          <w:szCs w:val="26"/>
        </w:rPr>
        <w:t>8 месяцев 2015 года</w:t>
      </w:r>
      <w:r w:rsidRPr="00FE49FB">
        <w:rPr>
          <w:sz w:val="26"/>
          <w:szCs w:val="26"/>
        </w:rPr>
        <w:t xml:space="preserve"> потребительские цены выросли на </w:t>
      </w:r>
      <w:r w:rsidR="00FE49FB" w:rsidRPr="00FE49FB">
        <w:rPr>
          <w:sz w:val="26"/>
          <w:szCs w:val="26"/>
        </w:rPr>
        <w:t>8,9</w:t>
      </w:r>
      <w:r w:rsidRPr="00FE49FB">
        <w:rPr>
          <w:sz w:val="26"/>
          <w:szCs w:val="26"/>
        </w:rPr>
        <w:t>%, что на 3,2 п. пункта выше, чем за аналогичный период предыдущего года (</w:t>
      </w:r>
      <w:r w:rsidR="00FE49FB" w:rsidRPr="00FE49FB">
        <w:rPr>
          <w:sz w:val="26"/>
          <w:szCs w:val="26"/>
        </w:rPr>
        <w:t>5,7</w:t>
      </w:r>
      <w:r w:rsidRPr="00FE49FB">
        <w:rPr>
          <w:sz w:val="26"/>
          <w:szCs w:val="26"/>
        </w:rPr>
        <w:t xml:space="preserve">%). </w:t>
      </w:r>
      <w:r w:rsidR="00AA679B" w:rsidRPr="00FE49FB">
        <w:rPr>
          <w:sz w:val="26"/>
          <w:szCs w:val="26"/>
        </w:rPr>
        <w:br/>
      </w:r>
      <w:r w:rsidR="00FE49FB" w:rsidRPr="00FE49FB">
        <w:rPr>
          <w:sz w:val="26"/>
          <w:szCs w:val="26"/>
        </w:rPr>
        <w:t xml:space="preserve">Начиная с марта, потребительская инфляция устойчиво замедлялась, в августе вновь усилилась. Прирост цен в августе составил 0,7% (за месяц), практически вдвое превысив показатель августа прошлого года (0,36%), когда был введен режим продовольственных </w:t>
      </w:r>
      <w:proofErr w:type="spellStart"/>
      <w:r w:rsidR="00FE49FB" w:rsidRPr="00FE49FB">
        <w:rPr>
          <w:sz w:val="26"/>
          <w:szCs w:val="26"/>
        </w:rPr>
        <w:t>контрсанкций</w:t>
      </w:r>
      <w:proofErr w:type="spellEnd"/>
      <w:r w:rsidR="00FE49FB" w:rsidRPr="00FE49FB">
        <w:rPr>
          <w:sz w:val="26"/>
          <w:szCs w:val="26"/>
        </w:rPr>
        <w:t xml:space="preserve">. Усиление инфляции в августе обусловлено новой волной падения рубля (за май-август около 30%), которое сопровождалось высокой </w:t>
      </w:r>
      <w:proofErr w:type="spellStart"/>
      <w:r w:rsidR="00FE49FB" w:rsidRPr="00FE49FB">
        <w:rPr>
          <w:sz w:val="26"/>
          <w:szCs w:val="26"/>
        </w:rPr>
        <w:t>волатильностью</w:t>
      </w:r>
      <w:proofErr w:type="spellEnd"/>
      <w:r w:rsidR="00FE49FB" w:rsidRPr="00FE49FB">
        <w:rPr>
          <w:sz w:val="26"/>
          <w:szCs w:val="26"/>
        </w:rPr>
        <w:t xml:space="preserve"> его колебаний.</w:t>
      </w:r>
    </w:p>
    <w:p w:rsidR="005E2660" w:rsidRPr="00FE49FB" w:rsidRDefault="00C66CFB" w:rsidP="00C66CFB">
      <w:pPr>
        <w:spacing w:line="288" w:lineRule="auto"/>
        <w:ind w:firstLine="720"/>
        <w:jc w:val="both"/>
        <w:rPr>
          <w:sz w:val="26"/>
          <w:szCs w:val="26"/>
        </w:rPr>
      </w:pPr>
      <w:r w:rsidRPr="00FE49FB">
        <w:rPr>
          <w:sz w:val="26"/>
          <w:szCs w:val="26"/>
        </w:rPr>
        <w:t>К концу 2015 г</w:t>
      </w:r>
      <w:r w:rsidR="00224338">
        <w:rPr>
          <w:sz w:val="26"/>
          <w:szCs w:val="26"/>
        </w:rPr>
        <w:t>ода</w:t>
      </w:r>
      <w:r w:rsidRPr="00FE49FB">
        <w:rPr>
          <w:sz w:val="26"/>
          <w:szCs w:val="26"/>
        </w:rPr>
        <w:t xml:space="preserve"> инфляция </w:t>
      </w:r>
      <w:r w:rsidR="00FE49FB" w:rsidRPr="00FE49FB">
        <w:rPr>
          <w:sz w:val="26"/>
          <w:szCs w:val="26"/>
        </w:rPr>
        <w:t>прогнозируется на уровне</w:t>
      </w:r>
      <w:r w:rsidRPr="00FE49FB">
        <w:rPr>
          <w:sz w:val="26"/>
          <w:szCs w:val="26"/>
        </w:rPr>
        <w:t xml:space="preserve"> 10,9%. В среднем </w:t>
      </w:r>
      <w:r w:rsidR="00B10BB9">
        <w:rPr>
          <w:sz w:val="26"/>
          <w:szCs w:val="26"/>
        </w:rPr>
        <w:br/>
      </w:r>
      <w:r w:rsidRPr="00FE49FB">
        <w:rPr>
          <w:sz w:val="26"/>
          <w:szCs w:val="26"/>
        </w:rPr>
        <w:t>за год инфляция оценивается на уровне 115,8%</w:t>
      </w:r>
      <w:r w:rsidR="00FE49FB" w:rsidRPr="00FE49FB">
        <w:rPr>
          <w:sz w:val="26"/>
          <w:szCs w:val="26"/>
        </w:rPr>
        <w:t>.</w:t>
      </w:r>
    </w:p>
    <w:p w:rsidR="00C66CFB" w:rsidRPr="00FE49FB" w:rsidRDefault="00C66CFB" w:rsidP="00C66CFB">
      <w:pPr>
        <w:spacing w:line="288" w:lineRule="auto"/>
        <w:ind w:firstLine="720"/>
        <w:jc w:val="both"/>
        <w:rPr>
          <w:sz w:val="26"/>
          <w:szCs w:val="26"/>
        </w:rPr>
      </w:pPr>
      <w:r w:rsidRPr="00FE49FB">
        <w:rPr>
          <w:sz w:val="26"/>
          <w:szCs w:val="26"/>
        </w:rPr>
        <w:t>Прогноз на период 2016-2018 гг. рассчитан, исходя из оценки 2015 года, исходных условий для формирования вариантов развития экономики Российской Федерации на период до 2018 года и с учётом существующих в регионе тенденций.</w:t>
      </w:r>
    </w:p>
    <w:p w:rsidR="0020073A" w:rsidRPr="001A76FA" w:rsidRDefault="005B50C7" w:rsidP="00252AA1">
      <w:pPr>
        <w:pStyle w:val="1"/>
        <w:spacing w:before="120" w:after="0"/>
        <w:rPr>
          <w:szCs w:val="26"/>
        </w:rPr>
      </w:pPr>
      <w:r w:rsidRPr="001A76FA">
        <w:rPr>
          <w:szCs w:val="26"/>
        </w:rPr>
        <w:t>Малое предпринимательство</w:t>
      </w:r>
      <w:r w:rsidR="008C0FF0">
        <w:rPr>
          <w:szCs w:val="26"/>
        </w:rPr>
        <w:t>.</w:t>
      </w:r>
    </w:p>
    <w:p w:rsidR="00CC4DF4" w:rsidRPr="001A76FA" w:rsidRDefault="00CC4DF4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1A76FA">
        <w:rPr>
          <w:sz w:val="26"/>
          <w:szCs w:val="26"/>
        </w:rPr>
        <w:t xml:space="preserve">Всего по итогам 2014 года </w:t>
      </w:r>
      <w:r w:rsidR="00FE49FB" w:rsidRPr="001A76FA">
        <w:rPr>
          <w:sz w:val="26"/>
          <w:szCs w:val="26"/>
        </w:rPr>
        <w:t xml:space="preserve">по данным </w:t>
      </w:r>
      <w:proofErr w:type="spellStart"/>
      <w:r w:rsidR="00FE49FB" w:rsidRPr="001A76FA">
        <w:rPr>
          <w:sz w:val="26"/>
          <w:szCs w:val="26"/>
        </w:rPr>
        <w:t>Архангельскстата</w:t>
      </w:r>
      <w:proofErr w:type="spellEnd"/>
      <w:r w:rsidR="00FE49FB" w:rsidRPr="001A76FA">
        <w:rPr>
          <w:sz w:val="26"/>
          <w:szCs w:val="26"/>
        </w:rPr>
        <w:t xml:space="preserve"> </w:t>
      </w:r>
      <w:r w:rsidRPr="001A76FA">
        <w:rPr>
          <w:sz w:val="26"/>
          <w:szCs w:val="26"/>
        </w:rPr>
        <w:t>в Архангел</w:t>
      </w:r>
      <w:r w:rsidR="00FE49FB" w:rsidRPr="001A76FA">
        <w:rPr>
          <w:sz w:val="26"/>
          <w:szCs w:val="26"/>
        </w:rPr>
        <w:t xml:space="preserve">ьской области зарегистрировано </w:t>
      </w:r>
      <w:r w:rsidRPr="001A76FA">
        <w:rPr>
          <w:sz w:val="26"/>
          <w:szCs w:val="26"/>
        </w:rPr>
        <w:t>44 334 субъекта малого и среднего предпринимательства, в том числе:</w:t>
      </w:r>
    </w:p>
    <w:p w:rsidR="00CC4DF4" w:rsidRPr="001A76FA" w:rsidRDefault="00CC4DF4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1A76FA">
        <w:rPr>
          <w:sz w:val="26"/>
          <w:szCs w:val="26"/>
        </w:rPr>
        <w:t>малые 1 492</w:t>
      </w:r>
    </w:p>
    <w:p w:rsidR="00CC4DF4" w:rsidRPr="001A76FA" w:rsidRDefault="00CC4DF4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1A76FA">
        <w:rPr>
          <w:sz w:val="26"/>
          <w:szCs w:val="26"/>
        </w:rPr>
        <w:t>микро 12 698</w:t>
      </w:r>
    </w:p>
    <w:p w:rsidR="00CC4DF4" w:rsidRPr="001A76FA" w:rsidRDefault="00CC4DF4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1A76FA">
        <w:rPr>
          <w:sz w:val="26"/>
          <w:szCs w:val="26"/>
        </w:rPr>
        <w:t>средние 90</w:t>
      </w:r>
    </w:p>
    <w:p w:rsidR="00CC4DF4" w:rsidRPr="001A76FA" w:rsidRDefault="00CC4DF4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1A76FA">
        <w:rPr>
          <w:sz w:val="26"/>
          <w:szCs w:val="26"/>
        </w:rPr>
        <w:t>индивидуальные предприниматели 30 054.</w:t>
      </w:r>
    </w:p>
    <w:p w:rsidR="00CC4DF4" w:rsidRPr="001A76FA" w:rsidRDefault="00CC4DF4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1A76FA">
        <w:rPr>
          <w:sz w:val="26"/>
          <w:szCs w:val="26"/>
        </w:rPr>
        <w:lastRenderedPageBreak/>
        <w:t>Структура малых предприятий (в том числе микро) по видам экономической деятельности в течение ряда лет остается практически неизменной. Так, доля субъектов малого бизнеса, работающих в сфере торговли, составляет 31</w:t>
      </w:r>
      <w:r w:rsidR="00FE49FB" w:rsidRPr="001A76FA">
        <w:rPr>
          <w:sz w:val="26"/>
          <w:szCs w:val="26"/>
        </w:rPr>
        <w:t>%</w:t>
      </w:r>
      <w:r w:rsidRPr="001A76FA">
        <w:rPr>
          <w:sz w:val="26"/>
          <w:szCs w:val="26"/>
        </w:rPr>
        <w:t>, малых предприятий, занимающихся операц</w:t>
      </w:r>
      <w:r w:rsidR="00FE49FB" w:rsidRPr="001A76FA">
        <w:rPr>
          <w:sz w:val="26"/>
          <w:szCs w:val="26"/>
        </w:rPr>
        <w:t>иями с недвижимым имуществом 18%</w:t>
      </w:r>
      <w:r w:rsidRPr="001A76FA">
        <w:rPr>
          <w:sz w:val="26"/>
          <w:szCs w:val="26"/>
        </w:rPr>
        <w:t>, предприятий обрабатывающих производств</w:t>
      </w:r>
      <w:r w:rsidR="00FE49FB" w:rsidRPr="001A76FA">
        <w:rPr>
          <w:sz w:val="26"/>
          <w:szCs w:val="26"/>
        </w:rPr>
        <w:t xml:space="preserve"> –</w:t>
      </w:r>
      <w:r w:rsidRPr="001A76FA">
        <w:rPr>
          <w:sz w:val="26"/>
          <w:szCs w:val="26"/>
        </w:rPr>
        <w:t xml:space="preserve"> 15</w:t>
      </w:r>
      <w:r w:rsidR="00FE49FB" w:rsidRPr="001A76FA">
        <w:rPr>
          <w:sz w:val="26"/>
          <w:szCs w:val="26"/>
        </w:rPr>
        <w:t>%</w:t>
      </w:r>
      <w:r w:rsidRPr="001A76FA">
        <w:rPr>
          <w:sz w:val="26"/>
          <w:szCs w:val="26"/>
        </w:rPr>
        <w:t>, малых предприятий строительной сферы </w:t>
      </w:r>
      <w:r w:rsidR="00FE49FB" w:rsidRPr="001A76FA">
        <w:rPr>
          <w:sz w:val="26"/>
          <w:szCs w:val="26"/>
        </w:rPr>
        <w:t>–</w:t>
      </w:r>
      <w:r w:rsidRPr="001A76FA">
        <w:rPr>
          <w:sz w:val="26"/>
          <w:szCs w:val="26"/>
        </w:rPr>
        <w:t xml:space="preserve"> 11</w:t>
      </w:r>
      <w:r w:rsidR="00FE49FB" w:rsidRPr="001A76FA">
        <w:rPr>
          <w:sz w:val="26"/>
          <w:szCs w:val="26"/>
        </w:rPr>
        <w:t>%</w:t>
      </w:r>
      <w:r w:rsidRPr="001A76FA">
        <w:rPr>
          <w:sz w:val="26"/>
          <w:szCs w:val="26"/>
        </w:rPr>
        <w:t>. Таким образом, в существующей структуре малого и среднего бизнеса Архангельской области доминирующее место принадлежит торговому сектору, а вклад производственных компаний не высок.</w:t>
      </w:r>
    </w:p>
    <w:p w:rsidR="00CC4DF4" w:rsidRPr="001A76FA" w:rsidRDefault="00CC4DF4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1A76FA">
        <w:rPr>
          <w:sz w:val="26"/>
          <w:szCs w:val="26"/>
        </w:rPr>
        <w:t xml:space="preserve">По итогам 2014 года наблюдалось снижение числа малых предприятий (включая микро), так по состоянию на 01 января 2015 г. зарегистрировано </w:t>
      </w:r>
      <w:r w:rsidR="002D642D" w:rsidRPr="001A76FA">
        <w:rPr>
          <w:sz w:val="26"/>
          <w:szCs w:val="26"/>
        </w:rPr>
        <w:br/>
      </w:r>
      <w:r w:rsidRPr="001A76FA">
        <w:rPr>
          <w:sz w:val="26"/>
          <w:szCs w:val="26"/>
        </w:rPr>
        <w:t>14190 ед. предприятий, что на 16</w:t>
      </w:r>
      <w:r w:rsidR="001A76FA" w:rsidRPr="001A76FA">
        <w:rPr>
          <w:sz w:val="26"/>
          <w:szCs w:val="26"/>
        </w:rPr>
        <w:t>%</w:t>
      </w:r>
      <w:r w:rsidRPr="001A76FA">
        <w:rPr>
          <w:sz w:val="26"/>
          <w:szCs w:val="26"/>
        </w:rPr>
        <w:t xml:space="preserve"> меньше, чем по состоянию </w:t>
      </w:r>
      <w:r w:rsidR="002D642D" w:rsidRPr="001A76FA">
        <w:rPr>
          <w:sz w:val="26"/>
          <w:szCs w:val="26"/>
        </w:rPr>
        <w:br/>
      </w:r>
      <w:r w:rsidRPr="001A76FA">
        <w:rPr>
          <w:sz w:val="26"/>
          <w:szCs w:val="26"/>
        </w:rPr>
        <w:t xml:space="preserve">на 01 января 2014 г.  </w:t>
      </w:r>
    </w:p>
    <w:p w:rsidR="00FE49FB" w:rsidRPr="001A76FA" w:rsidRDefault="001A76FA" w:rsidP="00FE49FB">
      <w:pPr>
        <w:spacing w:line="288" w:lineRule="auto"/>
        <w:ind w:firstLine="720"/>
        <w:jc w:val="both"/>
        <w:rPr>
          <w:sz w:val="26"/>
          <w:szCs w:val="26"/>
        </w:rPr>
      </w:pPr>
      <w:r w:rsidRPr="001A76FA">
        <w:rPr>
          <w:sz w:val="26"/>
          <w:szCs w:val="26"/>
        </w:rPr>
        <w:t>Кроме этого, п</w:t>
      </w:r>
      <w:r w:rsidR="00FE49FB" w:rsidRPr="001A76FA">
        <w:rPr>
          <w:sz w:val="26"/>
          <w:szCs w:val="26"/>
        </w:rPr>
        <w:t xml:space="preserve">о итогам 2014 года отмечен незначительный рост числа индивидуальных предпринимателей. В настоящее время ситуация стабилизировалась и приобретает положительную динамику. </w:t>
      </w:r>
    </w:p>
    <w:p w:rsidR="00CC4DF4" w:rsidRPr="001A76FA" w:rsidRDefault="00CC4DF4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1A76FA">
        <w:rPr>
          <w:sz w:val="26"/>
          <w:szCs w:val="26"/>
        </w:rPr>
        <w:t xml:space="preserve">Характерной чертой малого предпринимательства является широкое распространение вторичной занятости (по совместительству и по договорам гражданско-правового характера), предоставляющей дополнительные источники доходов для населения, наряду с основным местом работы. </w:t>
      </w:r>
    </w:p>
    <w:p w:rsidR="00CC4DF4" w:rsidRPr="001A76FA" w:rsidRDefault="00CC4DF4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1A76FA">
        <w:rPr>
          <w:sz w:val="26"/>
          <w:szCs w:val="26"/>
        </w:rPr>
        <w:t xml:space="preserve">Показатель численности субъектов МСП на 1 тыс. человек населения </w:t>
      </w:r>
      <w:r w:rsidRPr="001A76FA">
        <w:rPr>
          <w:sz w:val="26"/>
          <w:szCs w:val="26"/>
        </w:rPr>
        <w:br/>
        <w:t xml:space="preserve">в Архангельской области составляет </w:t>
      </w:r>
      <w:r w:rsidR="007E273D">
        <w:rPr>
          <w:sz w:val="26"/>
          <w:szCs w:val="26"/>
        </w:rPr>
        <w:t xml:space="preserve">около </w:t>
      </w:r>
      <w:r w:rsidRPr="001A76FA">
        <w:rPr>
          <w:sz w:val="26"/>
          <w:szCs w:val="26"/>
        </w:rPr>
        <w:t xml:space="preserve">39 предпринимательских единиц, </w:t>
      </w:r>
      <w:r w:rsidRPr="001A76FA">
        <w:rPr>
          <w:sz w:val="26"/>
          <w:szCs w:val="26"/>
        </w:rPr>
        <w:br/>
        <w:t>что сопоставимо со средним уровнем по Российской Федерации.</w:t>
      </w:r>
    </w:p>
    <w:p w:rsidR="005B50C7" w:rsidRPr="00C50961" w:rsidRDefault="005B50C7" w:rsidP="00252AA1">
      <w:pPr>
        <w:pStyle w:val="1"/>
        <w:spacing w:before="120" w:after="0"/>
        <w:rPr>
          <w:szCs w:val="26"/>
        </w:rPr>
      </w:pPr>
      <w:r w:rsidRPr="00C50961">
        <w:rPr>
          <w:szCs w:val="26"/>
        </w:rPr>
        <w:t>Инвестиции</w:t>
      </w:r>
      <w:r w:rsidR="008C0FF0">
        <w:rPr>
          <w:szCs w:val="26"/>
        </w:rPr>
        <w:t>.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>По итогам 2014 года в инвестициях в основной капитал отмечен спад, индекс физического объёма по официальным данным составил всего 64,4%.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 xml:space="preserve">Основные работы на строительстве </w:t>
      </w:r>
      <w:proofErr w:type="spellStart"/>
      <w:r w:rsidRPr="00C50961">
        <w:rPr>
          <w:sz w:val="26"/>
          <w:szCs w:val="26"/>
        </w:rPr>
        <w:t>ГОКов</w:t>
      </w:r>
      <w:proofErr w:type="spellEnd"/>
      <w:r w:rsidRPr="00C50961">
        <w:rPr>
          <w:sz w:val="26"/>
          <w:szCs w:val="26"/>
        </w:rPr>
        <w:t xml:space="preserve"> на месторождениях алмазов </w:t>
      </w:r>
      <w:proofErr w:type="gramStart"/>
      <w:r w:rsidRPr="00C50961">
        <w:rPr>
          <w:sz w:val="26"/>
          <w:szCs w:val="26"/>
        </w:rPr>
        <w:t>-и</w:t>
      </w:r>
      <w:proofErr w:type="gramEnd"/>
      <w:r w:rsidRPr="00C50961">
        <w:rPr>
          <w:sz w:val="26"/>
          <w:szCs w:val="26"/>
        </w:rPr>
        <w:t xml:space="preserve">м. М.В. Ломоносова и им. В. Гриба завершены, аналогичная ситуация и на объектах инфраструктуры – завершение работ на газопроводе, кроме этого, отражаются </w:t>
      </w:r>
      <w:r w:rsidR="001B29ED">
        <w:rPr>
          <w:sz w:val="26"/>
          <w:szCs w:val="26"/>
        </w:rPr>
        <w:br/>
      </w:r>
      <w:r w:rsidRPr="00C50961">
        <w:rPr>
          <w:sz w:val="26"/>
          <w:szCs w:val="26"/>
        </w:rPr>
        <w:t>на значении показателя и инвестиции в «обеспечение военной безопасности», носящие разовый характер.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>Прогнозные тенденции по основным секторам экономики.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>Сельское хозяйство и перерабатывающие предприятия.</w:t>
      </w:r>
    </w:p>
    <w:p w:rsidR="00507B39" w:rsidRPr="00252AA1" w:rsidRDefault="00507B39" w:rsidP="008D76F2">
      <w:pPr>
        <w:spacing w:line="288" w:lineRule="auto"/>
        <w:ind w:firstLine="720"/>
        <w:jc w:val="both"/>
        <w:rPr>
          <w:spacing w:val="-2"/>
          <w:sz w:val="26"/>
          <w:szCs w:val="26"/>
          <w:highlight w:val="red"/>
        </w:rPr>
      </w:pPr>
      <w:r w:rsidRPr="00252AA1">
        <w:rPr>
          <w:spacing w:val="-2"/>
          <w:sz w:val="26"/>
          <w:szCs w:val="26"/>
        </w:rPr>
        <w:t>Вложение инвестиций в основной капитал планируется – на строительство, реконструкцию и модернизацию животноводческих комплексов, приобретение оборудования для животноводческих комплексов, приобретение техники. В 2015 году начато строительство трёх крупных молочно-товарных комплексов на 1000 - 1200 голов дойного стада ОАО «Молоко» (ОАО «</w:t>
      </w:r>
      <w:proofErr w:type="spellStart"/>
      <w:r w:rsidRPr="00252AA1">
        <w:rPr>
          <w:spacing w:val="-2"/>
          <w:sz w:val="26"/>
          <w:szCs w:val="26"/>
        </w:rPr>
        <w:t>Важское</w:t>
      </w:r>
      <w:proofErr w:type="spellEnd"/>
      <w:r w:rsidRPr="00252AA1">
        <w:rPr>
          <w:spacing w:val="-2"/>
          <w:sz w:val="26"/>
          <w:szCs w:val="26"/>
        </w:rPr>
        <w:t xml:space="preserve">») в Вельском районе, </w:t>
      </w:r>
      <w:r w:rsidR="00252AA1">
        <w:rPr>
          <w:spacing w:val="-2"/>
          <w:sz w:val="26"/>
          <w:szCs w:val="26"/>
        </w:rPr>
        <w:br/>
      </w:r>
      <w:r w:rsidRPr="00252AA1">
        <w:rPr>
          <w:spacing w:val="-2"/>
          <w:sz w:val="26"/>
          <w:szCs w:val="26"/>
        </w:rPr>
        <w:t>ОАО «Родина» в </w:t>
      </w:r>
      <w:proofErr w:type="spellStart"/>
      <w:r w:rsidRPr="00252AA1">
        <w:rPr>
          <w:spacing w:val="-2"/>
          <w:sz w:val="26"/>
          <w:szCs w:val="26"/>
        </w:rPr>
        <w:t>Устьянском</w:t>
      </w:r>
      <w:proofErr w:type="spellEnd"/>
      <w:r w:rsidRPr="00252AA1">
        <w:rPr>
          <w:spacing w:val="-2"/>
          <w:sz w:val="26"/>
          <w:szCs w:val="26"/>
        </w:rPr>
        <w:t xml:space="preserve"> районе, ОАО «Агрофирма «Вельская» в Вельском районе. 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>Добыча полезных ископаемых.</w:t>
      </w:r>
    </w:p>
    <w:p w:rsidR="00507B39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lastRenderedPageBreak/>
        <w:t xml:space="preserve">Основной удельный вес по виду деятельности приходится </w:t>
      </w:r>
      <w:r w:rsidR="001B29ED">
        <w:rPr>
          <w:sz w:val="26"/>
          <w:szCs w:val="26"/>
        </w:rPr>
        <w:br/>
      </w:r>
      <w:r w:rsidRPr="00C50961">
        <w:rPr>
          <w:sz w:val="26"/>
          <w:szCs w:val="26"/>
        </w:rPr>
        <w:t xml:space="preserve">на алмазодобывающий сектор, где по итогам 2014 года суммарные инвестиции составили 5 668,02 млн. рублей. В период 2016-2017 годов в виду эффекта высокой базы прошлых лет темпы роста инвестиций сократятся. Крупные инвестиции </w:t>
      </w:r>
      <w:r w:rsidR="001B29ED">
        <w:rPr>
          <w:sz w:val="26"/>
          <w:szCs w:val="26"/>
        </w:rPr>
        <w:br/>
      </w:r>
      <w:r w:rsidRPr="00C50961">
        <w:rPr>
          <w:sz w:val="26"/>
          <w:szCs w:val="26"/>
        </w:rPr>
        <w:t xml:space="preserve">в горнодобывающий комплекс Архангельской области планируются </w:t>
      </w:r>
      <w:r w:rsidR="001B29ED">
        <w:rPr>
          <w:sz w:val="26"/>
          <w:szCs w:val="26"/>
        </w:rPr>
        <w:br/>
      </w:r>
      <w:r w:rsidRPr="00C50961">
        <w:rPr>
          <w:sz w:val="26"/>
          <w:szCs w:val="26"/>
        </w:rPr>
        <w:t xml:space="preserve">при строительстве </w:t>
      </w:r>
      <w:proofErr w:type="spellStart"/>
      <w:r w:rsidRPr="00C50961">
        <w:rPr>
          <w:sz w:val="26"/>
          <w:szCs w:val="26"/>
        </w:rPr>
        <w:t>ГОКа</w:t>
      </w:r>
      <w:proofErr w:type="spellEnd"/>
      <w:r w:rsidRPr="00C50961">
        <w:rPr>
          <w:sz w:val="26"/>
          <w:szCs w:val="26"/>
        </w:rPr>
        <w:t xml:space="preserve"> на архипелаге Новая Земля, при освоении Павловского свинцово-цинкового месторождения в 2018 году.</w:t>
      </w:r>
    </w:p>
    <w:p w:rsidR="009D3ECD" w:rsidRDefault="009D3ECD" w:rsidP="00507B39">
      <w:pPr>
        <w:spacing w:line="288" w:lineRule="auto"/>
        <w:ind w:firstLine="720"/>
        <w:jc w:val="both"/>
        <w:rPr>
          <w:sz w:val="26"/>
          <w:szCs w:val="26"/>
        </w:rPr>
      </w:pPr>
    </w:p>
    <w:p w:rsidR="009D3ECD" w:rsidRPr="00C50961" w:rsidRDefault="009D3ECD" w:rsidP="00507B39">
      <w:pPr>
        <w:spacing w:line="288" w:lineRule="auto"/>
        <w:ind w:firstLine="720"/>
        <w:jc w:val="both"/>
        <w:rPr>
          <w:sz w:val="26"/>
          <w:szCs w:val="26"/>
        </w:rPr>
      </w:pP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>Лесопромышленный комплекс.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>Обработка древесины и производство изделий из дерева.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>В текущем году в развитие производств капитальные вложения направят: ЗАО «Лесозавод 25» (приобретение техники), ООО «</w:t>
      </w:r>
      <w:proofErr w:type="spellStart"/>
      <w:r w:rsidRPr="00C50961">
        <w:rPr>
          <w:sz w:val="26"/>
          <w:szCs w:val="26"/>
        </w:rPr>
        <w:t>Устьянский</w:t>
      </w:r>
      <w:proofErr w:type="spellEnd"/>
      <w:r w:rsidRPr="00C50961">
        <w:rPr>
          <w:sz w:val="26"/>
          <w:szCs w:val="26"/>
        </w:rPr>
        <w:t xml:space="preserve"> ЛПК» (создание мощностей по распиловке тонкомерной древесины), </w:t>
      </w:r>
      <w:r w:rsidR="006079B6">
        <w:rPr>
          <w:sz w:val="26"/>
          <w:szCs w:val="26"/>
        </w:rPr>
        <w:t>З</w:t>
      </w:r>
      <w:r w:rsidRPr="00C50961">
        <w:rPr>
          <w:sz w:val="26"/>
          <w:szCs w:val="26"/>
        </w:rPr>
        <w:t xml:space="preserve">АО «Архангельский фанерный завод» (приобретение техники, оборудования). 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>Общий объем инвестиций в 2016 году планируется на уровне 2,7 – 3,1 млрд. рублей. Продолжат вложение инвестиций ЗАО «Лесозавод 25», ООО «</w:t>
      </w:r>
      <w:proofErr w:type="spellStart"/>
      <w:r w:rsidRPr="00C50961">
        <w:rPr>
          <w:sz w:val="26"/>
          <w:szCs w:val="26"/>
        </w:rPr>
        <w:t>Устьянский</w:t>
      </w:r>
      <w:proofErr w:type="spellEnd"/>
      <w:r w:rsidRPr="00C50961">
        <w:rPr>
          <w:sz w:val="26"/>
          <w:szCs w:val="26"/>
        </w:rPr>
        <w:t xml:space="preserve"> ЛПК», </w:t>
      </w:r>
      <w:r w:rsidR="006079B6">
        <w:rPr>
          <w:sz w:val="26"/>
          <w:szCs w:val="26"/>
        </w:rPr>
        <w:t>З</w:t>
      </w:r>
      <w:r w:rsidRPr="00C50961">
        <w:rPr>
          <w:sz w:val="26"/>
          <w:szCs w:val="26"/>
        </w:rPr>
        <w:t xml:space="preserve">АО «Архангельский фанерный завод». 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>Целлюлозно-бумажное производство.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 xml:space="preserve">В 2015 году общий объем инвестиций составит до 4,0 млрд. рублей ОАО «Архангельский ЦБК» продолжит реконструкцию производства «картон». ОАО «Группа Илим» в </w:t>
      </w:r>
      <w:proofErr w:type="gramStart"/>
      <w:r w:rsidRPr="00C50961">
        <w:rPr>
          <w:sz w:val="26"/>
          <w:szCs w:val="26"/>
        </w:rPr>
        <w:t>г</w:t>
      </w:r>
      <w:proofErr w:type="gramEnd"/>
      <w:r w:rsidRPr="00C50961">
        <w:rPr>
          <w:sz w:val="26"/>
          <w:szCs w:val="26"/>
        </w:rPr>
        <w:t>. Коряжме направит средства на модернизацию основных фондов предприятия.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>Общий объем инвестиций в 2016 году составит до 5,8 млрд. рублей.</w:t>
      </w:r>
      <w:r w:rsidRPr="00C50961">
        <w:rPr>
          <w:sz w:val="26"/>
          <w:szCs w:val="26"/>
        </w:rPr>
        <w:br/>
        <w:t xml:space="preserve">ОАО «Архангельский ЦБК» – реконструкция производства «картон», </w:t>
      </w:r>
      <w:r w:rsidRPr="00C50961">
        <w:rPr>
          <w:sz w:val="26"/>
          <w:szCs w:val="26"/>
        </w:rPr>
        <w:br/>
        <w:t xml:space="preserve">ОАО «Группа Илим» в </w:t>
      </w:r>
      <w:proofErr w:type="gramStart"/>
      <w:r w:rsidRPr="00C50961">
        <w:rPr>
          <w:sz w:val="26"/>
          <w:szCs w:val="26"/>
        </w:rPr>
        <w:t>г</w:t>
      </w:r>
      <w:proofErr w:type="gramEnd"/>
      <w:r w:rsidRPr="00C50961">
        <w:rPr>
          <w:sz w:val="26"/>
          <w:szCs w:val="26"/>
        </w:rPr>
        <w:t>. Коряжме – модернизация основных фондов.</w:t>
      </w:r>
    </w:p>
    <w:p w:rsidR="00507B39" w:rsidRPr="00C50961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C50961">
        <w:rPr>
          <w:sz w:val="26"/>
          <w:szCs w:val="26"/>
        </w:rPr>
        <w:t xml:space="preserve">В 2017-2018 гг. ОАО «Архангельский ЦБК» продолжат вложение средств </w:t>
      </w:r>
      <w:r w:rsidR="001B29ED">
        <w:rPr>
          <w:sz w:val="26"/>
          <w:szCs w:val="26"/>
        </w:rPr>
        <w:br/>
      </w:r>
      <w:r w:rsidRPr="00C50961">
        <w:rPr>
          <w:sz w:val="26"/>
          <w:szCs w:val="26"/>
        </w:rPr>
        <w:t xml:space="preserve">в модернизацию производственных объектов. В филиале ОАО «Группа «Илим» </w:t>
      </w:r>
      <w:r w:rsidR="001B29ED">
        <w:rPr>
          <w:sz w:val="26"/>
          <w:szCs w:val="26"/>
        </w:rPr>
        <w:br/>
      </w:r>
      <w:r w:rsidRPr="00C50961">
        <w:rPr>
          <w:sz w:val="26"/>
          <w:szCs w:val="26"/>
        </w:rPr>
        <w:t xml:space="preserve">в </w:t>
      </w:r>
      <w:proofErr w:type="gramStart"/>
      <w:r w:rsidRPr="00C50961">
        <w:rPr>
          <w:sz w:val="26"/>
          <w:szCs w:val="26"/>
        </w:rPr>
        <w:t>г</w:t>
      </w:r>
      <w:proofErr w:type="gramEnd"/>
      <w:r w:rsidRPr="00C50961">
        <w:rPr>
          <w:sz w:val="26"/>
          <w:szCs w:val="26"/>
        </w:rPr>
        <w:t>. Коряжме средства будут направлены на повышение эффективности оборудования и поддержание основных фондов.</w:t>
      </w:r>
    </w:p>
    <w:p w:rsidR="00507B39" w:rsidRPr="00A8370C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A8370C">
        <w:rPr>
          <w:sz w:val="26"/>
          <w:szCs w:val="26"/>
        </w:rPr>
        <w:t>Транспорт и связь.</w:t>
      </w:r>
    </w:p>
    <w:p w:rsidR="00507B39" w:rsidRPr="00A8370C" w:rsidRDefault="006079B6" w:rsidP="00507B39">
      <w:pPr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региональным автодорогам</w:t>
      </w:r>
      <w:r w:rsidR="00507B39" w:rsidRPr="00A8370C">
        <w:rPr>
          <w:sz w:val="26"/>
          <w:szCs w:val="26"/>
        </w:rPr>
        <w:t xml:space="preserve"> на 2015 год и прогнозируемый период </w:t>
      </w:r>
      <w:r>
        <w:rPr>
          <w:sz w:val="26"/>
          <w:szCs w:val="26"/>
        </w:rPr>
        <w:br/>
      </w:r>
      <w:r w:rsidR="00507B39" w:rsidRPr="00A8370C">
        <w:rPr>
          <w:sz w:val="26"/>
          <w:szCs w:val="26"/>
        </w:rPr>
        <w:t>2016-2018</w:t>
      </w:r>
      <w:r>
        <w:rPr>
          <w:sz w:val="26"/>
          <w:szCs w:val="26"/>
        </w:rPr>
        <w:t xml:space="preserve"> годов</w:t>
      </w:r>
      <w:r w:rsidR="00507B39" w:rsidRPr="00A8370C">
        <w:rPr>
          <w:sz w:val="26"/>
          <w:szCs w:val="26"/>
        </w:rPr>
        <w:t xml:space="preserve"> определяется в соответствии с подпрограммой №</w:t>
      </w:r>
      <w:r>
        <w:rPr>
          <w:sz w:val="26"/>
          <w:szCs w:val="26"/>
        </w:rPr>
        <w:t> </w:t>
      </w:r>
      <w:r w:rsidR="00507B39" w:rsidRPr="00A8370C">
        <w:rPr>
          <w:sz w:val="26"/>
          <w:szCs w:val="26"/>
        </w:rPr>
        <w:t>3 государственной программы «Развитие транспортной системы Архангельской области (2014 – 2020 годы)» и предусматривает небольшой рост.</w:t>
      </w:r>
    </w:p>
    <w:p w:rsidR="00507B39" w:rsidRPr="00A8370C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proofErr w:type="gramStart"/>
      <w:r w:rsidRPr="00A8370C">
        <w:rPr>
          <w:sz w:val="26"/>
          <w:szCs w:val="26"/>
        </w:rPr>
        <w:t xml:space="preserve">Основными объектами вложений в инфраструктурный комплекс Архангельской области </w:t>
      </w:r>
      <w:r w:rsidR="006079B6">
        <w:rPr>
          <w:sz w:val="26"/>
          <w:szCs w:val="26"/>
        </w:rPr>
        <w:t xml:space="preserve">также </w:t>
      </w:r>
      <w:r w:rsidRPr="00A8370C">
        <w:rPr>
          <w:sz w:val="26"/>
          <w:szCs w:val="26"/>
        </w:rPr>
        <w:t>являются аэропортовый комплекс «Архангельск» (</w:t>
      </w:r>
      <w:proofErr w:type="spellStart"/>
      <w:r w:rsidRPr="00A8370C">
        <w:rPr>
          <w:sz w:val="26"/>
          <w:szCs w:val="26"/>
        </w:rPr>
        <w:t>Талаги</w:t>
      </w:r>
      <w:proofErr w:type="spellEnd"/>
      <w:r w:rsidRPr="00A8370C">
        <w:rPr>
          <w:sz w:val="26"/>
          <w:szCs w:val="26"/>
        </w:rPr>
        <w:t>) и автомобильная дорога М-8 «Холмогоры», которые реализуются в привлечением средств в рамках федеральной целевой программы «Развитие транспортной системы России (2010 – 2020 годы)».</w:t>
      </w:r>
      <w:proofErr w:type="gramEnd"/>
    </w:p>
    <w:p w:rsidR="00507B39" w:rsidRPr="00A8370C" w:rsidRDefault="00507B39" w:rsidP="00507B39">
      <w:pPr>
        <w:spacing w:line="288" w:lineRule="auto"/>
        <w:ind w:firstLine="720"/>
        <w:jc w:val="both"/>
        <w:rPr>
          <w:sz w:val="26"/>
          <w:szCs w:val="26"/>
        </w:rPr>
      </w:pPr>
      <w:r w:rsidRPr="00A8370C">
        <w:rPr>
          <w:sz w:val="26"/>
          <w:szCs w:val="26"/>
        </w:rPr>
        <w:lastRenderedPageBreak/>
        <w:t>Проект реконструкц</w:t>
      </w:r>
      <w:proofErr w:type="gramStart"/>
      <w:r w:rsidRPr="00A8370C">
        <w:rPr>
          <w:sz w:val="26"/>
          <w:szCs w:val="26"/>
        </w:rPr>
        <w:t>ии аэ</w:t>
      </w:r>
      <w:proofErr w:type="gramEnd"/>
      <w:r w:rsidRPr="00A8370C">
        <w:rPr>
          <w:sz w:val="26"/>
          <w:szCs w:val="26"/>
        </w:rPr>
        <w:t>ропортового комплекса «</w:t>
      </w:r>
      <w:proofErr w:type="spellStart"/>
      <w:r w:rsidRPr="00A8370C">
        <w:rPr>
          <w:sz w:val="26"/>
          <w:szCs w:val="26"/>
        </w:rPr>
        <w:t>Талаги</w:t>
      </w:r>
      <w:proofErr w:type="spellEnd"/>
      <w:r w:rsidRPr="00A8370C">
        <w:rPr>
          <w:sz w:val="26"/>
          <w:szCs w:val="26"/>
        </w:rPr>
        <w:t xml:space="preserve">» с общим объёмом инвестиций 9,6 млрд. рублей производится частично за счёт средств федерального бюджета в рамках ФЦП «Развитие транспортной системы России (2010 - 2015 годы)»: реконструкция взлётно-посадочной полосы с искусственным покрытием, устройство водосточно-дренажной системы, перрона, рулёжных дорожек, </w:t>
      </w:r>
      <w:proofErr w:type="spellStart"/>
      <w:r w:rsidRPr="00A8370C">
        <w:rPr>
          <w:sz w:val="26"/>
          <w:szCs w:val="26"/>
        </w:rPr>
        <w:t>внутриаэродромных</w:t>
      </w:r>
      <w:proofErr w:type="spellEnd"/>
      <w:r w:rsidRPr="00A8370C">
        <w:rPr>
          <w:sz w:val="26"/>
          <w:szCs w:val="26"/>
        </w:rPr>
        <w:t xml:space="preserve"> дорог, строительство патрульной дороги и ограждения аэродрома; за счёт прочих источников финансирования - реконструкция склада ГСМ и аэровокзального комплекса.</w:t>
      </w:r>
    </w:p>
    <w:p w:rsidR="005B50C7" w:rsidRPr="00A8370C" w:rsidRDefault="005B50C7" w:rsidP="00252AA1">
      <w:pPr>
        <w:pStyle w:val="1"/>
        <w:spacing w:before="120" w:after="0"/>
        <w:rPr>
          <w:szCs w:val="26"/>
        </w:rPr>
      </w:pPr>
      <w:r w:rsidRPr="00A8370C">
        <w:rPr>
          <w:szCs w:val="26"/>
        </w:rPr>
        <w:t>Финансы</w:t>
      </w:r>
      <w:r w:rsidR="008C0FF0">
        <w:rPr>
          <w:szCs w:val="26"/>
        </w:rPr>
        <w:t>.</w:t>
      </w:r>
    </w:p>
    <w:p w:rsidR="008C3851" w:rsidRPr="00A8370C" w:rsidRDefault="008C3851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A8370C">
        <w:rPr>
          <w:sz w:val="26"/>
          <w:szCs w:val="26"/>
        </w:rPr>
        <w:t xml:space="preserve">Прогноз прибыли прибыльных организаций </w:t>
      </w:r>
      <w:r w:rsidRPr="00A8370C">
        <w:rPr>
          <w:i/>
          <w:sz w:val="26"/>
          <w:szCs w:val="26"/>
        </w:rPr>
        <w:t>по Архангельской области</w:t>
      </w:r>
      <w:r w:rsidRPr="00A8370C">
        <w:rPr>
          <w:sz w:val="26"/>
          <w:szCs w:val="26"/>
        </w:rPr>
        <w:t xml:space="preserve"> сформирован, основываясь:</w:t>
      </w:r>
    </w:p>
    <w:p w:rsidR="008C3851" w:rsidRPr="00A8370C" w:rsidRDefault="008C3851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A8370C">
        <w:rPr>
          <w:sz w:val="26"/>
          <w:szCs w:val="26"/>
        </w:rPr>
        <w:t>на текущей ситуации в экономике региона (статистические данные о прибыли крупных организаций и субъектов среднего предпринимательства) и анализа сопоставления с предыдущими периодами;</w:t>
      </w:r>
    </w:p>
    <w:p w:rsidR="008C3851" w:rsidRPr="00A8370C" w:rsidRDefault="008C3851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A8370C">
        <w:rPr>
          <w:sz w:val="26"/>
          <w:szCs w:val="26"/>
        </w:rPr>
        <w:t>на статистических данных о прибыли прибыльных организаций по данным годовой бухгалтерской отчётности за 201</w:t>
      </w:r>
      <w:r w:rsidR="00CC4DF4" w:rsidRPr="00A8370C">
        <w:rPr>
          <w:sz w:val="26"/>
          <w:szCs w:val="26"/>
        </w:rPr>
        <w:t>3</w:t>
      </w:r>
      <w:r w:rsidRPr="00A8370C">
        <w:rPr>
          <w:sz w:val="26"/>
          <w:szCs w:val="26"/>
        </w:rPr>
        <w:t xml:space="preserve"> и 201</w:t>
      </w:r>
      <w:r w:rsidR="00CC4DF4" w:rsidRPr="00A8370C">
        <w:rPr>
          <w:sz w:val="26"/>
          <w:szCs w:val="26"/>
        </w:rPr>
        <w:t>4</w:t>
      </w:r>
      <w:r w:rsidRPr="00A8370C">
        <w:rPr>
          <w:sz w:val="26"/>
          <w:szCs w:val="26"/>
        </w:rPr>
        <w:t xml:space="preserve"> годы;</w:t>
      </w:r>
    </w:p>
    <w:p w:rsidR="008C3851" w:rsidRPr="00A8370C" w:rsidRDefault="008C3851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A8370C">
        <w:rPr>
          <w:sz w:val="26"/>
          <w:szCs w:val="26"/>
        </w:rPr>
        <w:t>на данных налоговой отчётности 1-НМ "Отчёт о начислении и поступлении налогов, сборов и иных обязательных платежей в бюджетную систему Российской Федерации;</w:t>
      </w:r>
    </w:p>
    <w:p w:rsidR="00CC4DF4" w:rsidRPr="00A8370C" w:rsidRDefault="00CC4DF4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A8370C">
        <w:rPr>
          <w:sz w:val="26"/>
          <w:szCs w:val="26"/>
        </w:rPr>
        <w:t>на отчетности об исполнении консолидированного бюджета субъекта Российской Федерации;</w:t>
      </w:r>
    </w:p>
    <w:p w:rsidR="008C3851" w:rsidRPr="00A8370C" w:rsidRDefault="008C3851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A8370C">
        <w:rPr>
          <w:sz w:val="26"/>
          <w:szCs w:val="26"/>
        </w:rPr>
        <w:t>на прогнозах ряда крупнейших предприятий региона и НАО различных видов экономической деятельности;</w:t>
      </w:r>
    </w:p>
    <w:p w:rsidR="008C3851" w:rsidRPr="00A8370C" w:rsidRDefault="008C3851" w:rsidP="006079B6">
      <w:pPr>
        <w:spacing w:line="288" w:lineRule="auto"/>
        <w:ind w:firstLine="709"/>
        <w:jc w:val="both"/>
        <w:rPr>
          <w:sz w:val="26"/>
          <w:szCs w:val="26"/>
        </w:rPr>
      </w:pPr>
      <w:r w:rsidRPr="00A8370C">
        <w:rPr>
          <w:sz w:val="26"/>
          <w:szCs w:val="26"/>
        </w:rPr>
        <w:t>на тенденциях развития экономики Российской Федерации (сценарные условия Министерства экономического развития Российской Федерации).</w:t>
      </w:r>
    </w:p>
    <w:p w:rsidR="008C3851" w:rsidRPr="00A8370C" w:rsidRDefault="008C3851" w:rsidP="008C0FF0">
      <w:pPr>
        <w:spacing w:before="120" w:line="288" w:lineRule="auto"/>
        <w:ind w:firstLine="720"/>
        <w:jc w:val="both"/>
        <w:rPr>
          <w:sz w:val="26"/>
          <w:szCs w:val="26"/>
        </w:rPr>
      </w:pPr>
      <w:r w:rsidRPr="00A8370C">
        <w:rPr>
          <w:sz w:val="26"/>
          <w:szCs w:val="26"/>
        </w:rPr>
        <w:t>По Архангельской области показатель «прибыль прибыльных организаций» оценивается на уровне:</w:t>
      </w:r>
    </w:p>
    <w:tbl>
      <w:tblPr>
        <w:tblStyle w:val="ac"/>
        <w:tblW w:w="0" w:type="auto"/>
        <w:tblLook w:val="04A0"/>
      </w:tblPr>
      <w:tblGrid>
        <w:gridCol w:w="1652"/>
        <w:gridCol w:w="1043"/>
        <w:gridCol w:w="1093"/>
        <w:gridCol w:w="926"/>
        <w:gridCol w:w="926"/>
        <w:gridCol w:w="926"/>
        <w:gridCol w:w="926"/>
        <w:gridCol w:w="926"/>
        <w:gridCol w:w="926"/>
      </w:tblGrid>
      <w:tr w:rsidR="003244B0" w:rsidRPr="001F2CA8" w:rsidTr="00885CDA">
        <w:tc>
          <w:tcPr>
            <w:tcW w:w="1652" w:type="dxa"/>
            <w:vMerge w:val="restart"/>
          </w:tcPr>
          <w:p w:rsidR="003244B0" w:rsidRPr="001F2CA8" w:rsidRDefault="003244B0" w:rsidP="001B29ED">
            <w:pPr>
              <w:spacing w:line="228" w:lineRule="auto"/>
              <w:jc w:val="both"/>
              <w:rPr>
                <w:szCs w:val="26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3244B0" w:rsidRPr="001F2CA8" w:rsidRDefault="003244B0" w:rsidP="001B29ED">
            <w:pPr>
              <w:spacing w:line="228" w:lineRule="auto"/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</w:t>
            </w:r>
            <w:r w:rsidR="00CC4DF4" w:rsidRPr="001F2CA8">
              <w:rPr>
                <w:szCs w:val="26"/>
              </w:rPr>
              <w:t>4</w:t>
            </w:r>
            <w:r w:rsidRPr="001F2CA8">
              <w:rPr>
                <w:szCs w:val="26"/>
              </w:rPr>
              <w:t xml:space="preserve"> год</w:t>
            </w:r>
          </w:p>
          <w:p w:rsidR="003244B0" w:rsidRPr="001F2CA8" w:rsidRDefault="003244B0" w:rsidP="001B29ED">
            <w:pPr>
              <w:spacing w:line="228" w:lineRule="auto"/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(отчёт)</w:t>
            </w:r>
          </w:p>
        </w:tc>
        <w:tc>
          <w:tcPr>
            <w:tcW w:w="1093" w:type="dxa"/>
            <w:vMerge w:val="restart"/>
            <w:vAlign w:val="center"/>
          </w:tcPr>
          <w:p w:rsidR="003244B0" w:rsidRPr="001F2CA8" w:rsidRDefault="003244B0" w:rsidP="001B29ED">
            <w:pPr>
              <w:spacing w:line="228" w:lineRule="auto"/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</w:t>
            </w:r>
            <w:r w:rsidR="00CC4DF4" w:rsidRPr="001F2CA8">
              <w:rPr>
                <w:szCs w:val="26"/>
              </w:rPr>
              <w:t>5</w:t>
            </w:r>
            <w:r w:rsidRPr="001F2CA8">
              <w:rPr>
                <w:szCs w:val="26"/>
              </w:rPr>
              <w:t xml:space="preserve"> год</w:t>
            </w:r>
          </w:p>
          <w:p w:rsidR="003244B0" w:rsidRPr="001F2CA8" w:rsidRDefault="003244B0" w:rsidP="001B29ED">
            <w:pPr>
              <w:spacing w:line="228" w:lineRule="auto"/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(оценка)</w:t>
            </w:r>
          </w:p>
        </w:tc>
        <w:tc>
          <w:tcPr>
            <w:tcW w:w="5556" w:type="dxa"/>
            <w:gridSpan w:val="6"/>
            <w:vAlign w:val="center"/>
          </w:tcPr>
          <w:p w:rsidR="003244B0" w:rsidRPr="001F2CA8" w:rsidRDefault="003244B0" w:rsidP="001B29ED">
            <w:pPr>
              <w:spacing w:line="228" w:lineRule="auto"/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прогноз</w:t>
            </w:r>
          </w:p>
        </w:tc>
      </w:tr>
      <w:tr w:rsidR="003244B0" w:rsidRPr="001F2CA8" w:rsidTr="00885CDA">
        <w:tc>
          <w:tcPr>
            <w:tcW w:w="1652" w:type="dxa"/>
            <w:vMerge/>
          </w:tcPr>
          <w:p w:rsidR="003244B0" w:rsidRPr="001F2CA8" w:rsidRDefault="003244B0" w:rsidP="001B29ED">
            <w:pPr>
              <w:spacing w:line="228" w:lineRule="auto"/>
              <w:jc w:val="both"/>
              <w:rPr>
                <w:szCs w:val="26"/>
              </w:rPr>
            </w:pPr>
          </w:p>
        </w:tc>
        <w:tc>
          <w:tcPr>
            <w:tcW w:w="1043" w:type="dxa"/>
            <w:vMerge/>
            <w:vAlign w:val="center"/>
          </w:tcPr>
          <w:p w:rsidR="003244B0" w:rsidRPr="001F2CA8" w:rsidRDefault="003244B0" w:rsidP="001B29ED">
            <w:pPr>
              <w:spacing w:line="228" w:lineRule="auto"/>
              <w:jc w:val="center"/>
              <w:rPr>
                <w:szCs w:val="26"/>
              </w:rPr>
            </w:pPr>
          </w:p>
        </w:tc>
        <w:tc>
          <w:tcPr>
            <w:tcW w:w="1093" w:type="dxa"/>
            <w:vMerge/>
            <w:vAlign w:val="center"/>
          </w:tcPr>
          <w:p w:rsidR="003244B0" w:rsidRPr="001F2CA8" w:rsidRDefault="003244B0" w:rsidP="001B29ED">
            <w:pPr>
              <w:spacing w:line="228" w:lineRule="auto"/>
              <w:jc w:val="center"/>
              <w:rPr>
                <w:szCs w:val="26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3244B0" w:rsidRPr="001F2CA8" w:rsidRDefault="003244B0" w:rsidP="001B29ED">
            <w:pPr>
              <w:spacing w:line="228" w:lineRule="auto"/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</w:t>
            </w:r>
            <w:r w:rsidR="00CC4DF4" w:rsidRPr="001F2CA8">
              <w:rPr>
                <w:szCs w:val="26"/>
              </w:rPr>
              <w:t>6</w:t>
            </w:r>
            <w:r w:rsidRPr="001F2CA8">
              <w:rPr>
                <w:szCs w:val="26"/>
              </w:rPr>
              <w:t xml:space="preserve"> год</w:t>
            </w:r>
          </w:p>
        </w:tc>
        <w:tc>
          <w:tcPr>
            <w:tcW w:w="1852" w:type="dxa"/>
            <w:gridSpan w:val="2"/>
            <w:vAlign w:val="center"/>
          </w:tcPr>
          <w:p w:rsidR="003244B0" w:rsidRPr="001F2CA8" w:rsidRDefault="003244B0" w:rsidP="001B29ED">
            <w:pPr>
              <w:spacing w:line="228" w:lineRule="auto"/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</w:t>
            </w:r>
            <w:r w:rsidR="00CC4DF4" w:rsidRPr="001F2CA8">
              <w:rPr>
                <w:szCs w:val="26"/>
              </w:rPr>
              <w:t>7</w:t>
            </w:r>
            <w:r w:rsidRPr="001F2CA8">
              <w:rPr>
                <w:szCs w:val="26"/>
              </w:rPr>
              <w:t xml:space="preserve"> год</w:t>
            </w:r>
          </w:p>
        </w:tc>
        <w:tc>
          <w:tcPr>
            <w:tcW w:w="1852" w:type="dxa"/>
            <w:gridSpan w:val="2"/>
            <w:vAlign w:val="center"/>
          </w:tcPr>
          <w:p w:rsidR="003244B0" w:rsidRPr="001F2CA8" w:rsidRDefault="003244B0" w:rsidP="001B29ED">
            <w:pPr>
              <w:spacing w:line="228" w:lineRule="auto"/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</w:t>
            </w:r>
            <w:r w:rsidR="00CC4DF4" w:rsidRPr="001F2CA8">
              <w:rPr>
                <w:szCs w:val="26"/>
              </w:rPr>
              <w:t>8</w:t>
            </w:r>
            <w:r w:rsidRPr="001F2CA8">
              <w:rPr>
                <w:szCs w:val="26"/>
              </w:rPr>
              <w:t xml:space="preserve"> год</w:t>
            </w:r>
          </w:p>
        </w:tc>
      </w:tr>
      <w:tr w:rsidR="001F2CA8" w:rsidRPr="001F2CA8" w:rsidTr="00885CDA">
        <w:tc>
          <w:tcPr>
            <w:tcW w:w="1652" w:type="dxa"/>
            <w:vMerge/>
          </w:tcPr>
          <w:p w:rsidR="001F2CA8" w:rsidRPr="001F2CA8" w:rsidRDefault="001F2CA8" w:rsidP="001F2CA8">
            <w:pPr>
              <w:spacing w:line="228" w:lineRule="auto"/>
              <w:jc w:val="both"/>
              <w:rPr>
                <w:szCs w:val="26"/>
              </w:rPr>
            </w:pPr>
          </w:p>
        </w:tc>
        <w:tc>
          <w:tcPr>
            <w:tcW w:w="1043" w:type="dxa"/>
            <w:vMerge/>
            <w:vAlign w:val="center"/>
          </w:tcPr>
          <w:p w:rsidR="001F2CA8" w:rsidRPr="001F2CA8" w:rsidRDefault="001F2CA8" w:rsidP="001F2CA8">
            <w:pPr>
              <w:spacing w:line="228" w:lineRule="auto"/>
              <w:jc w:val="center"/>
              <w:rPr>
                <w:szCs w:val="26"/>
              </w:rPr>
            </w:pPr>
          </w:p>
        </w:tc>
        <w:tc>
          <w:tcPr>
            <w:tcW w:w="1093" w:type="dxa"/>
            <w:vMerge/>
            <w:vAlign w:val="center"/>
          </w:tcPr>
          <w:p w:rsidR="001F2CA8" w:rsidRPr="001F2CA8" w:rsidRDefault="001F2CA8" w:rsidP="001F2CA8">
            <w:pPr>
              <w:spacing w:line="228" w:lineRule="auto"/>
              <w:jc w:val="center"/>
              <w:rPr>
                <w:szCs w:val="26"/>
              </w:rPr>
            </w:pPr>
          </w:p>
        </w:tc>
        <w:tc>
          <w:tcPr>
            <w:tcW w:w="926" w:type="dxa"/>
            <w:vAlign w:val="center"/>
          </w:tcPr>
          <w:p w:rsidR="001F2CA8" w:rsidRPr="001F2CA8" w:rsidRDefault="001F2CA8" w:rsidP="001F2CA8">
            <w:pPr>
              <w:spacing w:line="228" w:lineRule="auto"/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1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26" w:type="dxa"/>
            <w:vAlign w:val="center"/>
          </w:tcPr>
          <w:p w:rsidR="001F2CA8" w:rsidRPr="001F2CA8" w:rsidRDefault="001F2CA8" w:rsidP="001F2CA8">
            <w:pPr>
              <w:spacing w:line="228" w:lineRule="auto"/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2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26" w:type="dxa"/>
            <w:vAlign w:val="center"/>
          </w:tcPr>
          <w:p w:rsidR="001F2CA8" w:rsidRPr="001F2CA8" w:rsidRDefault="001F2CA8" w:rsidP="001F2CA8">
            <w:pPr>
              <w:spacing w:line="228" w:lineRule="auto"/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1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26" w:type="dxa"/>
            <w:vAlign w:val="center"/>
          </w:tcPr>
          <w:p w:rsidR="001F2CA8" w:rsidRPr="001F2CA8" w:rsidRDefault="001F2CA8" w:rsidP="001F2CA8">
            <w:pPr>
              <w:spacing w:line="228" w:lineRule="auto"/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2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26" w:type="dxa"/>
            <w:vAlign w:val="center"/>
          </w:tcPr>
          <w:p w:rsidR="001F2CA8" w:rsidRPr="001F2CA8" w:rsidRDefault="001F2CA8" w:rsidP="001F2CA8">
            <w:pPr>
              <w:spacing w:line="228" w:lineRule="auto"/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1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26" w:type="dxa"/>
            <w:vAlign w:val="center"/>
          </w:tcPr>
          <w:p w:rsidR="001F2CA8" w:rsidRPr="001F2CA8" w:rsidRDefault="001F2CA8" w:rsidP="001F2CA8">
            <w:pPr>
              <w:spacing w:line="228" w:lineRule="auto"/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2 вар</w:t>
            </w:r>
            <w:r>
              <w:rPr>
                <w:spacing w:val="-6"/>
                <w:szCs w:val="26"/>
              </w:rPr>
              <w:t>.</w:t>
            </w:r>
          </w:p>
        </w:tc>
      </w:tr>
      <w:tr w:rsidR="00885CDA" w:rsidRPr="001F2CA8" w:rsidTr="00885CDA">
        <w:tc>
          <w:tcPr>
            <w:tcW w:w="1652" w:type="dxa"/>
          </w:tcPr>
          <w:p w:rsidR="00885CDA" w:rsidRPr="001F2CA8" w:rsidRDefault="00885CDA" w:rsidP="00885CDA">
            <w:pPr>
              <w:spacing w:line="228" w:lineRule="auto"/>
              <w:rPr>
                <w:szCs w:val="26"/>
              </w:rPr>
            </w:pPr>
            <w:r w:rsidRPr="001F2CA8">
              <w:rPr>
                <w:szCs w:val="26"/>
              </w:rPr>
              <w:t>Прибыль прибыльных организаций, млн. рублей</w:t>
            </w:r>
          </w:p>
        </w:tc>
        <w:tc>
          <w:tcPr>
            <w:tcW w:w="1043" w:type="dxa"/>
            <w:vAlign w:val="center"/>
          </w:tcPr>
          <w:p w:rsidR="00885CDA" w:rsidRPr="001F2CA8" w:rsidRDefault="00885CDA" w:rsidP="00885CDA">
            <w:pPr>
              <w:spacing w:line="228" w:lineRule="auto"/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35 741</w:t>
            </w:r>
          </w:p>
        </w:tc>
        <w:tc>
          <w:tcPr>
            <w:tcW w:w="1093" w:type="dxa"/>
            <w:vAlign w:val="center"/>
          </w:tcPr>
          <w:p w:rsidR="00885CDA" w:rsidRPr="00885CDA" w:rsidRDefault="00885CDA" w:rsidP="00885CDA">
            <w:pPr>
              <w:spacing w:line="228" w:lineRule="auto"/>
              <w:jc w:val="center"/>
              <w:rPr>
                <w:szCs w:val="26"/>
              </w:rPr>
            </w:pPr>
            <w:r w:rsidRPr="00885CDA">
              <w:rPr>
                <w:szCs w:val="26"/>
              </w:rPr>
              <w:t>49 192</w:t>
            </w:r>
          </w:p>
        </w:tc>
        <w:tc>
          <w:tcPr>
            <w:tcW w:w="926" w:type="dxa"/>
            <w:vAlign w:val="center"/>
          </w:tcPr>
          <w:p w:rsidR="00885CDA" w:rsidRPr="00885CDA" w:rsidRDefault="00885CDA" w:rsidP="00885CDA">
            <w:pPr>
              <w:spacing w:line="228" w:lineRule="auto"/>
              <w:jc w:val="center"/>
              <w:rPr>
                <w:szCs w:val="26"/>
              </w:rPr>
            </w:pPr>
            <w:r w:rsidRPr="00885CDA">
              <w:rPr>
                <w:szCs w:val="26"/>
              </w:rPr>
              <w:t>58 62</w:t>
            </w:r>
            <w:r>
              <w:rPr>
                <w:szCs w:val="26"/>
              </w:rPr>
              <w:t>7</w:t>
            </w:r>
          </w:p>
        </w:tc>
        <w:tc>
          <w:tcPr>
            <w:tcW w:w="926" w:type="dxa"/>
            <w:vAlign w:val="center"/>
          </w:tcPr>
          <w:p w:rsidR="00885CDA" w:rsidRPr="00885CDA" w:rsidRDefault="00885CDA" w:rsidP="00885CDA">
            <w:pPr>
              <w:spacing w:line="228" w:lineRule="auto"/>
              <w:jc w:val="center"/>
              <w:rPr>
                <w:szCs w:val="26"/>
              </w:rPr>
            </w:pPr>
            <w:r w:rsidRPr="00885CDA">
              <w:rPr>
                <w:szCs w:val="26"/>
              </w:rPr>
              <w:t>59 40</w:t>
            </w:r>
            <w:r>
              <w:rPr>
                <w:szCs w:val="26"/>
              </w:rPr>
              <w:t>2</w:t>
            </w:r>
          </w:p>
        </w:tc>
        <w:tc>
          <w:tcPr>
            <w:tcW w:w="926" w:type="dxa"/>
            <w:vAlign w:val="center"/>
          </w:tcPr>
          <w:p w:rsidR="00885CDA" w:rsidRPr="00885CDA" w:rsidRDefault="00885CDA" w:rsidP="00885CDA">
            <w:pPr>
              <w:spacing w:line="228" w:lineRule="auto"/>
              <w:jc w:val="center"/>
              <w:rPr>
                <w:szCs w:val="26"/>
              </w:rPr>
            </w:pPr>
            <w:r w:rsidRPr="00885CDA">
              <w:rPr>
                <w:szCs w:val="26"/>
              </w:rPr>
              <w:t>61 193</w:t>
            </w:r>
          </w:p>
        </w:tc>
        <w:tc>
          <w:tcPr>
            <w:tcW w:w="926" w:type="dxa"/>
            <w:vAlign w:val="center"/>
          </w:tcPr>
          <w:p w:rsidR="00885CDA" w:rsidRPr="00885CDA" w:rsidRDefault="00885CDA" w:rsidP="00885CDA">
            <w:pPr>
              <w:spacing w:line="228" w:lineRule="auto"/>
              <w:jc w:val="center"/>
              <w:rPr>
                <w:szCs w:val="26"/>
              </w:rPr>
            </w:pPr>
            <w:r w:rsidRPr="00885CDA">
              <w:rPr>
                <w:szCs w:val="26"/>
              </w:rPr>
              <w:t>63 87</w:t>
            </w:r>
            <w:r>
              <w:rPr>
                <w:szCs w:val="26"/>
              </w:rPr>
              <w:t>6</w:t>
            </w:r>
          </w:p>
        </w:tc>
        <w:tc>
          <w:tcPr>
            <w:tcW w:w="926" w:type="dxa"/>
            <w:vAlign w:val="center"/>
          </w:tcPr>
          <w:p w:rsidR="00885CDA" w:rsidRPr="00885CDA" w:rsidRDefault="00885CDA" w:rsidP="00885CDA">
            <w:pPr>
              <w:spacing w:line="228" w:lineRule="auto"/>
              <w:jc w:val="center"/>
              <w:rPr>
                <w:szCs w:val="26"/>
              </w:rPr>
            </w:pPr>
            <w:r w:rsidRPr="00885CDA">
              <w:rPr>
                <w:szCs w:val="26"/>
              </w:rPr>
              <w:t>65 016</w:t>
            </w:r>
          </w:p>
        </w:tc>
        <w:tc>
          <w:tcPr>
            <w:tcW w:w="926" w:type="dxa"/>
            <w:vAlign w:val="center"/>
          </w:tcPr>
          <w:p w:rsidR="00885CDA" w:rsidRPr="00885CDA" w:rsidRDefault="00885CDA" w:rsidP="00885CDA">
            <w:pPr>
              <w:spacing w:line="228" w:lineRule="auto"/>
              <w:jc w:val="center"/>
              <w:rPr>
                <w:szCs w:val="26"/>
              </w:rPr>
            </w:pPr>
            <w:r w:rsidRPr="00885CDA">
              <w:rPr>
                <w:szCs w:val="26"/>
              </w:rPr>
              <w:t>69 235</w:t>
            </w:r>
          </w:p>
        </w:tc>
      </w:tr>
    </w:tbl>
    <w:p w:rsidR="008C3851" w:rsidRPr="00A8370C" w:rsidRDefault="008C3851" w:rsidP="001F2CA8">
      <w:pPr>
        <w:widowControl w:val="0"/>
        <w:spacing w:before="120" w:line="288" w:lineRule="auto"/>
        <w:ind w:firstLine="709"/>
        <w:jc w:val="both"/>
        <w:rPr>
          <w:bCs/>
          <w:sz w:val="26"/>
          <w:szCs w:val="26"/>
        </w:rPr>
      </w:pPr>
      <w:r w:rsidRPr="00A8370C">
        <w:rPr>
          <w:sz w:val="26"/>
          <w:szCs w:val="26"/>
        </w:rPr>
        <w:t>По Ненецкому автономному округу</w:t>
      </w:r>
      <w:r w:rsidR="00EF0CF8" w:rsidRPr="00A8370C">
        <w:rPr>
          <w:sz w:val="26"/>
          <w:szCs w:val="26"/>
        </w:rPr>
        <w:t xml:space="preserve"> </w:t>
      </w:r>
      <w:r w:rsidRPr="00A8370C">
        <w:rPr>
          <w:bCs/>
          <w:sz w:val="26"/>
          <w:szCs w:val="26"/>
        </w:rPr>
        <w:t>прогноз</w:t>
      </w:r>
      <w:r w:rsidR="00EF0CF8" w:rsidRPr="00A8370C">
        <w:rPr>
          <w:bCs/>
          <w:sz w:val="26"/>
          <w:szCs w:val="26"/>
        </w:rPr>
        <w:t xml:space="preserve"> </w:t>
      </w:r>
      <w:r w:rsidRPr="00A8370C">
        <w:rPr>
          <w:sz w:val="26"/>
          <w:szCs w:val="26"/>
        </w:rPr>
        <w:t xml:space="preserve">разработан с учётом </w:t>
      </w:r>
      <w:r w:rsidRPr="00A8370C">
        <w:rPr>
          <w:bCs/>
          <w:sz w:val="26"/>
          <w:szCs w:val="26"/>
        </w:rPr>
        <w:t xml:space="preserve">изменений мировых цен на российскую нефть марки </w:t>
      </w:r>
      <w:r w:rsidRPr="00A8370C">
        <w:rPr>
          <w:bCs/>
          <w:sz w:val="26"/>
          <w:szCs w:val="26"/>
          <w:lang w:val="en-US"/>
        </w:rPr>
        <w:t>Urals</w:t>
      </w:r>
      <w:r w:rsidRPr="00A8370C">
        <w:rPr>
          <w:bCs/>
          <w:sz w:val="26"/>
          <w:szCs w:val="26"/>
        </w:rPr>
        <w:t>, среднегодового курса доллара (согласно сценарным условиям Министерства экономического развития Российской Федерации):</w:t>
      </w:r>
    </w:p>
    <w:tbl>
      <w:tblPr>
        <w:tblStyle w:val="ac"/>
        <w:tblW w:w="9351" w:type="dxa"/>
        <w:tblLayout w:type="fixed"/>
        <w:tblLook w:val="04A0"/>
      </w:tblPr>
      <w:tblGrid>
        <w:gridCol w:w="1668"/>
        <w:gridCol w:w="1077"/>
        <w:gridCol w:w="1078"/>
        <w:gridCol w:w="1062"/>
        <w:gridCol w:w="922"/>
        <w:gridCol w:w="850"/>
        <w:gridCol w:w="851"/>
        <w:gridCol w:w="921"/>
        <w:gridCol w:w="922"/>
      </w:tblGrid>
      <w:tr w:rsidR="00CC4DF4" w:rsidRPr="001F2CA8" w:rsidTr="001F2CA8">
        <w:tc>
          <w:tcPr>
            <w:tcW w:w="1668" w:type="dxa"/>
            <w:vMerge w:val="restart"/>
          </w:tcPr>
          <w:p w:rsidR="00CC4DF4" w:rsidRPr="001F2CA8" w:rsidRDefault="00CC4DF4" w:rsidP="009D3ECD">
            <w:pPr>
              <w:jc w:val="both"/>
              <w:rPr>
                <w:szCs w:val="26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CC4DF4" w:rsidRPr="001F2CA8" w:rsidRDefault="00CC4DF4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2014 год</w:t>
            </w:r>
          </w:p>
          <w:p w:rsidR="00CC4DF4" w:rsidRPr="001F2CA8" w:rsidRDefault="00CC4DF4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(отчёт)</w:t>
            </w:r>
          </w:p>
        </w:tc>
        <w:tc>
          <w:tcPr>
            <w:tcW w:w="1078" w:type="dxa"/>
            <w:vMerge w:val="restart"/>
            <w:vAlign w:val="center"/>
          </w:tcPr>
          <w:p w:rsidR="00CC4DF4" w:rsidRPr="001F2CA8" w:rsidRDefault="00CC4DF4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2015 год</w:t>
            </w:r>
          </w:p>
          <w:p w:rsidR="00CC4DF4" w:rsidRPr="001F2CA8" w:rsidRDefault="00CC4DF4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(оценка)</w:t>
            </w:r>
          </w:p>
        </w:tc>
        <w:tc>
          <w:tcPr>
            <w:tcW w:w="5528" w:type="dxa"/>
            <w:gridSpan w:val="6"/>
            <w:vAlign w:val="center"/>
          </w:tcPr>
          <w:p w:rsidR="00CC4DF4" w:rsidRPr="001F2CA8" w:rsidRDefault="00CC4DF4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прогноз</w:t>
            </w:r>
          </w:p>
        </w:tc>
      </w:tr>
      <w:tr w:rsidR="00CC4DF4" w:rsidRPr="001F2CA8" w:rsidTr="001F2CA8">
        <w:tc>
          <w:tcPr>
            <w:tcW w:w="1668" w:type="dxa"/>
            <w:vMerge/>
          </w:tcPr>
          <w:p w:rsidR="00CC4DF4" w:rsidRPr="001F2CA8" w:rsidRDefault="00CC4DF4" w:rsidP="009D3ECD">
            <w:pPr>
              <w:jc w:val="both"/>
              <w:rPr>
                <w:szCs w:val="26"/>
              </w:rPr>
            </w:pPr>
          </w:p>
        </w:tc>
        <w:tc>
          <w:tcPr>
            <w:tcW w:w="1077" w:type="dxa"/>
            <w:vMerge/>
            <w:vAlign w:val="center"/>
          </w:tcPr>
          <w:p w:rsidR="00CC4DF4" w:rsidRPr="001F2CA8" w:rsidRDefault="00CC4DF4" w:rsidP="009D3ECD">
            <w:pPr>
              <w:jc w:val="center"/>
              <w:rPr>
                <w:szCs w:val="26"/>
              </w:rPr>
            </w:pPr>
          </w:p>
        </w:tc>
        <w:tc>
          <w:tcPr>
            <w:tcW w:w="1078" w:type="dxa"/>
            <w:vMerge/>
            <w:vAlign w:val="center"/>
          </w:tcPr>
          <w:p w:rsidR="00CC4DF4" w:rsidRPr="001F2CA8" w:rsidRDefault="00CC4DF4" w:rsidP="009D3ECD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4DF4" w:rsidRPr="001F2CA8" w:rsidRDefault="00CC4DF4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2016 год</w:t>
            </w:r>
          </w:p>
        </w:tc>
        <w:tc>
          <w:tcPr>
            <w:tcW w:w="1701" w:type="dxa"/>
            <w:gridSpan w:val="2"/>
            <w:vAlign w:val="center"/>
          </w:tcPr>
          <w:p w:rsidR="00CC4DF4" w:rsidRPr="001F2CA8" w:rsidRDefault="00CC4DF4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2017 год</w:t>
            </w:r>
          </w:p>
        </w:tc>
        <w:tc>
          <w:tcPr>
            <w:tcW w:w="1843" w:type="dxa"/>
            <w:gridSpan w:val="2"/>
            <w:vAlign w:val="center"/>
          </w:tcPr>
          <w:p w:rsidR="00CC4DF4" w:rsidRPr="001F2CA8" w:rsidRDefault="00CC4DF4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2018 год</w:t>
            </w:r>
          </w:p>
        </w:tc>
      </w:tr>
      <w:tr w:rsidR="001F2CA8" w:rsidRPr="001F2CA8" w:rsidTr="001F2CA8">
        <w:tc>
          <w:tcPr>
            <w:tcW w:w="1668" w:type="dxa"/>
            <w:vMerge/>
          </w:tcPr>
          <w:p w:rsidR="001F2CA8" w:rsidRPr="001F2CA8" w:rsidRDefault="001F2CA8" w:rsidP="009D3ECD">
            <w:pPr>
              <w:jc w:val="both"/>
              <w:rPr>
                <w:szCs w:val="26"/>
              </w:rPr>
            </w:pPr>
          </w:p>
        </w:tc>
        <w:tc>
          <w:tcPr>
            <w:tcW w:w="1077" w:type="dxa"/>
            <w:vMerge/>
            <w:vAlign w:val="center"/>
          </w:tcPr>
          <w:p w:rsidR="001F2CA8" w:rsidRPr="001F2CA8" w:rsidRDefault="001F2CA8" w:rsidP="009D3ECD">
            <w:pPr>
              <w:jc w:val="center"/>
              <w:rPr>
                <w:szCs w:val="26"/>
              </w:rPr>
            </w:pPr>
          </w:p>
        </w:tc>
        <w:tc>
          <w:tcPr>
            <w:tcW w:w="1078" w:type="dxa"/>
            <w:vMerge/>
            <w:vAlign w:val="center"/>
          </w:tcPr>
          <w:p w:rsidR="001F2CA8" w:rsidRPr="001F2CA8" w:rsidRDefault="001F2CA8" w:rsidP="009D3ECD">
            <w:pPr>
              <w:jc w:val="center"/>
              <w:rPr>
                <w:szCs w:val="26"/>
              </w:rPr>
            </w:pPr>
          </w:p>
        </w:tc>
        <w:tc>
          <w:tcPr>
            <w:tcW w:w="1062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1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22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2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1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2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21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1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22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2 вар</w:t>
            </w:r>
            <w:r>
              <w:rPr>
                <w:spacing w:val="-6"/>
                <w:szCs w:val="26"/>
              </w:rPr>
              <w:t>.</w:t>
            </w:r>
          </w:p>
        </w:tc>
      </w:tr>
      <w:tr w:rsidR="00585E2B" w:rsidRPr="001F2CA8" w:rsidTr="001F2CA8">
        <w:tc>
          <w:tcPr>
            <w:tcW w:w="1668" w:type="dxa"/>
          </w:tcPr>
          <w:p w:rsidR="00585E2B" w:rsidRPr="001F2CA8" w:rsidRDefault="00585E2B" w:rsidP="009D3ECD">
            <w:pPr>
              <w:rPr>
                <w:szCs w:val="26"/>
              </w:rPr>
            </w:pPr>
            <w:r w:rsidRPr="001F2CA8">
              <w:rPr>
                <w:szCs w:val="26"/>
              </w:rPr>
              <w:t xml:space="preserve">Прибыль прибыльных организаций, </w:t>
            </w:r>
            <w:r w:rsidRPr="001F2CA8">
              <w:rPr>
                <w:szCs w:val="26"/>
              </w:rPr>
              <w:lastRenderedPageBreak/>
              <w:t>млн. рублей</w:t>
            </w:r>
          </w:p>
        </w:tc>
        <w:tc>
          <w:tcPr>
            <w:tcW w:w="1077" w:type="dxa"/>
            <w:vAlign w:val="center"/>
          </w:tcPr>
          <w:p w:rsidR="00585E2B" w:rsidRPr="001F2CA8" w:rsidRDefault="00A8370C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lastRenderedPageBreak/>
              <w:t>57 887</w:t>
            </w:r>
          </w:p>
        </w:tc>
        <w:tc>
          <w:tcPr>
            <w:tcW w:w="1078" w:type="dxa"/>
            <w:vAlign w:val="center"/>
          </w:tcPr>
          <w:p w:rsidR="00585E2B" w:rsidRPr="001F2CA8" w:rsidRDefault="00A8370C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49 739</w:t>
            </w:r>
          </w:p>
        </w:tc>
        <w:tc>
          <w:tcPr>
            <w:tcW w:w="1062" w:type="dxa"/>
            <w:vAlign w:val="center"/>
          </w:tcPr>
          <w:p w:rsidR="00585E2B" w:rsidRPr="001F2CA8" w:rsidRDefault="00A8370C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59 901</w:t>
            </w:r>
          </w:p>
        </w:tc>
        <w:tc>
          <w:tcPr>
            <w:tcW w:w="922" w:type="dxa"/>
            <w:vAlign w:val="center"/>
          </w:tcPr>
          <w:p w:rsidR="00585E2B" w:rsidRPr="001F2CA8" w:rsidRDefault="00A8370C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60 626</w:t>
            </w:r>
          </w:p>
        </w:tc>
        <w:tc>
          <w:tcPr>
            <w:tcW w:w="850" w:type="dxa"/>
            <w:vAlign w:val="center"/>
          </w:tcPr>
          <w:p w:rsidR="00585E2B" w:rsidRPr="001F2CA8" w:rsidRDefault="00A8370C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61 385</w:t>
            </w:r>
          </w:p>
        </w:tc>
        <w:tc>
          <w:tcPr>
            <w:tcW w:w="851" w:type="dxa"/>
            <w:vAlign w:val="center"/>
          </w:tcPr>
          <w:p w:rsidR="00585E2B" w:rsidRPr="001F2CA8" w:rsidRDefault="00A8370C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63 347</w:t>
            </w:r>
          </w:p>
        </w:tc>
        <w:tc>
          <w:tcPr>
            <w:tcW w:w="921" w:type="dxa"/>
            <w:vAlign w:val="center"/>
          </w:tcPr>
          <w:p w:rsidR="00585E2B" w:rsidRPr="001F2CA8" w:rsidRDefault="00A8370C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63 670</w:t>
            </w:r>
          </w:p>
        </w:tc>
        <w:tc>
          <w:tcPr>
            <w:tcW w:w="922" w:type="dxa"/>
            <w:vAlign w:val="center"/>
          </w:tcPr>
          <w:p w:rsidR="00585E2B" w:rsidRPr="001F2CA8" w:rsidRDefault="00A8370C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68 274</w:t>
            </w:r>
          </w:p>
        </w:tc>
      </w:tr>
      <w:tr w:rsidR="00585E2B" w:rsidRPr="001F2CA8" w:rsidTr="001F2CA8">
        <w:tc>
          <w:tcPr>
            <w:tcW w:w="1668" w:type="dxa"/>
          </w:tcPr>
          <w:p w:rsidR="00585E2B" w:rsidRPr="001F2CA8" w:rsidRDefault="00585E2B" w:rsidP="009D3ECD">
            <w:pPr>
              <w:jc w:val="right"/>
              <w:rPr>
                <w:rFonts w:ascii="Arial" w:hAnsi="Arial" w:cs="Arial"/>
                <w:color w:val="000000"/>
                <w:szCs w:val="26"/>
              </w:rPr>
            </w:pPr>
            <w:r w:rsidRPr="001F2CA8">
              <w:rPr>
                <w:szCs w:val="26"/>
              </w:rPr>
              <w:lastRenderedPageBreak/>
              <w:t>прибыль организаций при выполнении соглашений о разделе продукции</w:t>
            </w:r>
          </w:p>
        </w:tc>
        <w:tc>
          <w:tcPr>
            <w:tcW w:w="1077" w:type="dxa"/>
            <w:vAlign w:val="center"/>
          </w:tcPr>
          <w:p w:rsidR="00585E2B" w:rsidRPr="001F2CA8" w:rsidRDefault="00A8370C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7 777</w:t>
            </w:r>
          </w:p>
        </w:tc>
        <w:tc>
          <w:tcPr>
            <w:tcW w:w="1078" w:type="dxa"/>
            <w:vAlign w:val="center"/>
          </w:tcPr>
          <w:p w:rsidR="00585E2B" w:rsidRPr="001F2CA8" w:rsidRDefault="00A8370C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6 439</w:t>
            </w:r>
          </w:p>
        </w:tc>
        <w:tc>
          <w:tcPr>
            <w:tcW w:w="1062" w:type="dxa"/>
            <w:vAlign w:val="center"/>
          </w:tcPr>
          <w:p w:rsidR="00585E2B" w:rsidRPr="001F2CA8" w:rsidRDefault="00A8370C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8 113</w:t>
            </w:r>
          </w:p>
        </w:tc>
        <w:tc>
          <w:tcPr>
            <w:tcW w:w="922" w:type="dxa"/>
            <w:vAlign w:val="center"/>
          </w:tcPr>
          <w:p w:rsidR="00585E2B" w:rsidRPr="001F2CA8" w:rsidRDefault="00A8370C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8 113</w:t>
            </w:r>
          </w:p>
        </w:tc>
        <w:tc>
          <w:tcPr>
            <w:tcW w:w="850" w:type="dxa"/>
            <w:vAlign w:val="center"/>
          </w:tcPr>
          <w:p w:rsidR="00585E2B" w:rsidRPr="001F2CA8" w:rsidRDefault="00A8370C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8 357</w:t>
            </w:r>
          </w:p>
        </w:tc>
        <w:tc>
          <w:tcPr>
            <w:tcW w:w="851" w:type="dxa"/>
            <w:vAlign w:val="center"/>
          </w:tcPr>
          <w:p w:rsidR="00585E2B" w:rsidRPr="001F2CA8" w:rsidRDefault="00A8370C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8 762</w:t>
            </w:r>
          </w:p>
        </w:tc>
        <w:tc>
          <w:tcPr>
            <w:tcW w:w="921" w:type="dxa"/>
            <w:vAlign w:val="center"/>
          </w:tcPr>
          <w:p w:rsidR="00585E2B" w:rsidRPr="001F2CA8" w:rsidRDefault="00A8370C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8 775</w:t>
            </w:r>
          </w:p>
        </w:tc>
        <w:tc>
          <w:tcPr>
            <w:tcW w:w="922" w:type="dxa"/>
            <w:vAlign w:val="center"/>
          </w:tcPr>
          <w:p w:rsidR="00585E2B" w:rsidRPr="001F2CA8" w:rsidRDefault="00A8370C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9 639</w:t>
            </w:r>
          </w:p>
        </w:tc>
      </w:tr>
    </w:tbl>
    <w:p w:rsidR="008C3851" w:rsidRDefault="008C3851" w:rsidP="001F2CA8">
      <w:pPr>
        <w:widowControl w:val="0"/>
        <w:spacing w:before="120" w:line="288" w:lineRule="auto"/>
        <w:ind w:firstLine="709"/>
        <w:jc w:val="both"/>
        <w:rPr>
          <w:bCs/>
          <w:sz w:val="26"/>
          <w:szCs w:val="26"/>
        </w:rPr>
      </w:pPr>
      <w:r w:rsidRPr="00A8370C">
        <w:rPr>
          <w:bCs/>
          <w:sz w:val="26"/>
          <w:szCs w:val="26"/>
        </w:rPr>
        <w:t>А также с учётом динамики добычи нефти в НАО, представленной Администрацией Ненецкого автономного округа:</w:t>
      </w:r>
    </w:p>
    <w:p w:rsidR="009D3ECD" w:rsidRPr="00A8370C" w:rsidRDefault="009D3ECD" w:rsidP="001F2CA8">
      <w:pPr>
        <w:widowControl w:val="0"/>
        <w:spacing w:before="120" w:line="288" w:lineRule="auto"/>
        <w:ind w:firstLine="709"/>
        <w:jc w:val="both"/>
        <w:rPr>
          <w:bCs/>
          <w:sz w:val="26"/>
          <w:szCs w:val="26"/>
        </w:rPr>
      </w:pPr>
    </w:p>
    <w:tbl>
      <w:tblPr>
        <w:tblStyle w:val="ac"/>
        <w:tblW w:w="9351" w:type="dxa"/>
        <w:tblLayout w:type="fixed"/>
        <w:tblLook w:val="04A0"/>
      </w:tblPr>
      <w:tblGrid>
        <w:gridCol w:w="1838"/>
        <w:gridCol w:w="1049"/>
        <w:gridCol w:w="1049"/>
        <w:gridCol w:w="794"/>
        <w:gridCol w:w="794"/>
        <w:gridCol w:w="921"/>
        <w:gridCol w:w="921"/>
        <w:gridCol w:w="992"/>
        <w:gridCol w:w="993"/>
      </w:tblGrid>
      <w:tr w:rsidR="00096BB9" w:rsidRPr="001F2CA8" w:rsidTr="009D3ECD">
        <w:tc>
          <w:tcPr>
            <w:tcW w:w="1838" w:type="dxa"/>
            <w:vMerge w:val="restart"/>
          </w:tcPr>
          <w:p w:rsidR="00096BB9" w:rsidRPr="001F2CA8" w:rsidRDefault="00096BB9" w:rsidP="009D3ECD">
            <w:pPr>
              <w:jc w:val="both"/>
              <w:rPr>
                <w:szCs w:val="26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096BB9" w:rsidRPr="001F2CA8" w:rsidRDefault="00096BB9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2014 год</w:t>
            </w:r>
          </w:p>
          <w:p w:rsidR="00096BB9" w:rsidRPr="001F2CA8" w:rsidRDefault="00096BB9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(отчёт)</w:t>
            </w:r>
          </w:p>
        </w:tc>
        <w:tc>
          <w:tcPr>
            <w:tcW w:w="1049" w:type="dxa"/>
            <w:vMerge w:val="restart"/>
            <w:vAlign w:val="center"/>
          </w:tcPr>
          <w:p w:rsidR="00096BB9" w:rsidRPr="001F2CA8" w:rsidRDefault="00096BB9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2015 год</w:t>
            </w:r>
          </w:p>
          <w:p w:rsidR="00096BB9" w:rsidRPr="001F2CA8" w:rsidRDefault="00096BB9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(оценка)</w:t>
            </w:r>
          </w:p>
        </w:tc>
        <w:tc>
          <w:tcPr>
            <w:tcW w:w="5415" w:type="dxa"/>
            <w:gridSpan w:val="6"/>
            <w:vAlign w:val="center"/>
          </w:tcPr>
          <w:p w:rsidR="00096BB9" w:rsidRPr="001F2CA8" w:rsidRDefault="00096BB9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прогноз</w:t>
            </w:r>
          </w:p>
        </w:tc>
      </w:tr>
      <w:tr w:rsidR="00096BB9" w:rsidRPr="001F2CA8" w:rsidTr="009D3ECD">
        <w:tc>
          <w:tcPr>
            <w:tcW w:w="1838" w:type="dxa"/>
            <w:vMerge/>
          </w:tcPr>
          <w:p w:rsidR="00096BB9" w:rsidRPr="001F2CA8" w:rsidRDefault="00096BB9" w:rsidP="009D3ECD">
            <w:pPr>
              <w:jc w:val="both"/>
              <w:rPr>
                <w:szCs w:val="26"/>
              </w:rPr>
            </w:pPr>
          </w:p>
        </w:tc>
        <w:tc>
          <w:tcPr>
            <w:tcW w:w="1049" w:type="dxa"/>
            <w:vMerge/>
            <w:vAlign w:val="center"/>
          </w:tcPr>
          <w:p w:rsidR="00096BB9" w:rsidRPr="001F2CA8" w:rsidRDefault="00096BB9" w:rsidP="009D3ECD">
            <w:pPr>
              <w:jc w:val="center"/>
              <w:rPr>
                <w:szCs w:val="26"/>
              </w:rPr>
            </w:pPr>
          </w:p>
        </w:tc>
        <w:tc>
          <w:tcPr>
            <w:tcW w:w="1049" w:type="dxa"/>
            <w:vMerge/>
            <w:vAlign w:val="center"/>
          </w:tcPr>
          <w:p w:rsidR="00096BB9" w:rsidRPr="001F2CA8" w:rsidRDefault="00096BB9" w:rsidP="009D3ECD">
            <w:pPr>
              <w:jc w:val="center"/>
              <w:rPr>
                <w:szCs w:val="26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96BB9" w:rsidRPr="001F2CA8" w:rsidRDefault="00096BB9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2016 год</w:t>
            </w:r>
          </w:p>
        </w:tc>
        <w:tc>
          <w:tcPr>
            <w:tcW w:w="1842" w:type="dxa"/>
            <w:gridSpan w:val="2"/>
            <w:vAlign w:val="center"/>
          </w:tcPr>
          <w:p w:rsidR="00096BB9" w:rsidRPr="001F2CA8" w:rsidRDefault="00096BB9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096BB9" w:rsidRPr="001F2CA8" w:rsidRDefault="00096BB9" w:rsidP="009D3ECD">
            <w:pPr>
              <w:jc w:val="center"/>
              <w:rPr>
                <w:szCs w:val="26"/>
              </w:rPr>
            </w:pPr>
            <w:r w:rsidRPr="001F2CA8">
              <w:rPr>
                <w:szCs w:val="26"/>
              </w:rPr>
              <w:t>2018 год</w:t>
            </w:r>
          </w:p>
        </w:tc>
      </w:tr>
      <w:tr w:rsidR="001F2CA8" w:rsidRPr="001F2CA8" w:rsidTr="009D3ECD">
        <w:tc>
          <w:tcPr>
            <w:tcW w:w="1838" w:type="dxa"/>
            <w:vMerge/>
          </w:tcPr>
          <w:p w:rsidR="001F2CA8" w:rsidRPr="001F2CA8" w:rsidRDefault="001F2CA8" w:rsidP="009D3ECD">
            <w:pPr>
              <w:jc w:val="both"/>
              <w:rPr>
                <w:szCs w:val="26"/>
              </w:rPr>
            </w:pPr>
          </w:p>
        </w:tc>
        <w:tc>
          <w:tcPr>
            <w:tcW w:w="1049" w:type="dxa"/>
            <w:vMerge/>
            <w:vAlign w:val="center"/>
          </w:tcPr>
          <w:p w:rsidR="001F2CA8" w:rsidRPr="001F2CA8" w:rsidRDefault="001F2CA8" w:rsidP="009D3ECD">
            <w:pPr>
              <w:jc w:val="center"/>
              <w:rPr>
                <w:szCs w:val="26"/>
              </w:rPr>
            </w:pPr>
          </w:p>
        </w:tc>
        <w:tc>
          <w:tcPr>
            <w:tcW w:w="1049" w:type="dxa"/>
            <w:vMerge/>
            <w:vAlign w:val="center"/>
          </w:tcPr>
          <w:p w:rsidR="001F2CA8" w:rsidRPr="001F2CA8" w:rsidRDefault="001F2CA8" w:rsidP="009D3ECD">
            <w:pPr>
              <w:jc w:val="center"/>
              <w:rPr>
                <w:szCs w:val="26"/>
              </w:rPr>
            </w:pPr>
          </w:p>
        </w:tc>
        <w:tc>
          <w:tcPr>
            <w:tcW w:w="794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1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794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2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21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1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21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2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1 вар</w:t>
            </w:r>
            <w:r>
              <w:rPr>
                <w:spacing w:val="-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1F2CA8" w:rsidRPr="001F2CA8" w:rsidRDefault="001F2CA8" w:rsidP="009D3ECD">
            <w:pPr>
              <w:jc w:val="center"/>
              <w:rPr>
                <w:spacing w:val="-6"/>
                <w:szCs w:val="26"/>
              </w:rPr>
            </w:pPr>
            <w:r w:rsidRPr="001F2CA8">
              <w:rPr>
                <w:spacing w:val="-6"/>
                <w:szCs w:val="26"/>
              </w:rPr>
              <w:t>2 вар</w:t>
            </w:r>
            <w:r>
              <w:rPr>
                <w:spacing w:val="-6"/>
                <w:szCs w:val="26"/>
              </w:rPr>
              <w:t>.</w:t>
            </w:r>
          </w:p>
        </w:tc>
      </w:tr>
      <w:tr w:rsidR="00096BB9" w:rsidRPr="001F2CA8" w:rsidTr="009D3ECD">
        <w:tc>
          <w:tcPr>
            <w:tcW w:w="1838" w:type="dxa"/>
          </w:tcPr>
          <w:p w:rsidR="00096BB9" w:rsidRPr="001F2CA8" w:rsidRDefault="00096BB9" w:rsidP="009D3ECD">
            <w:pPr>
              <w:rPr>
                <w:szCs w:val="26"/>
              </w:rPr>
            </w:pPr>
            <w:r w:rsidRPr="001F2CA8">
              <w:rPr>
                <w:szCs w:val="26"/>
              </w:rPr>
              <w:t>Добыча нефти, включая газовый конденсат, млн. тонн</w:t>
            </w:r>
          </w:p>
        </w:tc>
        <w:tc>
          <w:tcPr>
            <w:tcW w:w="1049" w:type="dxa"/>
            <w:vAlign w:val="center"/>
          </w:tcPr>
          <w:p w:rsidR="00096BB9" w:rsidRPr="001F2CA8" w:rsidRDefault="00096BB9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13,80</w:t>
            </w:r>
          </w:p>
        </w:tc>
        <w:tc>
          <w:tcPr>
            <w:tcW w:w="1049" w:type="dxa"/>
            <w:vAlign w:val="center"/>
          </w:tcPr>
          <w:p w:rsidR="00096BB9" w:rsidRPr="001F2CA8" w:rsidRDefault="00096BB9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15,58</w:t>
            </w:r>
          </w:p>
        </w:tc>
        <w:tc>
          <w:tcPr>
            <w:tcW w:w="794" w:type="dxa"/>
            <w:vAlign w:val="center"/>
          </w:tcPr>
          <w:p w:rsidR="00096BB9" w:rsidRPr="001F2CA8" w:rsidRDefault="00096BB9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17,92</w:t>
            </w:r>
          </w:p>
        </w:tc>
        <w:tc>
          <w:tcPr>
            <w:tcW w:w="794" w:type="dxa"/>
            <w:vAlign w:val="center"/>
          </w:tcPr>
          <w:p w:rsidR="00096BB9" w:rsidRPr="001F2CA8" w:rsidRDefault="00096BB9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18,02</w:t>
            </w:r>
          </w:p>
        </w:tc>
        <w:tc>
          <w:tcPr>
            <w:tcW w:w="921" w:type="dxa"/>
            <w:vAlign w:val="center"/>
          </w:tcPr>
          <w:p w:rsidR="00096BB9" w:rsidRPr="001F2CA8" w:rsidRDefault="00096BB9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18,11</w:t>
            </w:r>
          </w:p>
        </w:tc>
        <w:tc>
          <w:tcPr>
            <w:tcW w:w="921" w:type="dxa"/>
            <w:vAlign w:val="center"/>
          </w:tcPr>
          <w:p w:rsidR="00096BB9" w:rsidRPr="001F2CA8" w:rsidRDefault="00096BB9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18,31</w:t>
            </w:r>
          </w:p>
        </w:tc>
        <w:tc>
          <w:tcPr>
            <w:tcW w:w="992" w:type="dxa"/>
            <w:vAlign w:val="center"/>
          </w:tcPr>
          <w:p w:rsidR="00096BB9" w:rsidRPr="001F2CA8" w:rsidRDefault="00096BB9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18,60</w:t>
            </w:r>
          </w:p>
        </w:tc>
        <w:tc>
          <w:tcPr>
            <w:tcW w:w="993" w:type="dxa"/>
            <w:vAlign w:val="center"/>
          </w:tcPr>
          <w:p w:rsidR="00096BB9" w:rsidRPr="001F2CA8" w:rsidRDefault="00096BB9" w:rsidP="009D3ECD">
            <w:pPr>
              <w:jc w:val="center"/>
              <w:rPr>
                <w:color w:val="000000"/>
                <w:szCs w:val="26"/>
              </w:rPr>
            </w:pPr>
            <w:r w:rsidRPr="001F2CA8">
              <w:rPr>
                <w:color w:val="000000"/>
                <w:szCs w:val="26"/>
              </w:rPr>
              <w:t>18,80</w:t>
            </w:r>
          </w:p>
        </w:tc>
      </w:tr>
    </w:tbl>
    <w:p w:rsidR="008C3851" w:rsidRPr="00045342" w:rsidRDefault="006079B6" w:rsidP="001F2CA8">
      <w:pPr>
        <w:widowControl w:val="0"/>
        <w:spacing w:before="120" w:line="28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8C3851" w:rsidRPr="00045342">
        <w:rPr>
          <w:bCs/>
          <w:sz w:val="26"/>
          <w:szCs w:val="26"/>
        </w:rPr>
        <w:t xml:space="preserve">ри формировании прогнозных значений учтена прибыль </w:t>
      </w:r>
      <w:r w:rsidR="001F2CA8">
        <w:rPr>
          <w:bCs/>
          <w:sz w:val="26"/>
          <w:szCs w:val="26"/>
        </w:rPr>
        <w:br/>
      </w:r>
      <w:r w:rsidR="008C3851" w:rsidRPr="00045342">
        <w:rPr>
          <w:bCs/>
          <w:sz w:val="26"/>
          <w:szCs w:val="26"/>
        </w:rPr>
        <w:t>по консолидированным группам налогоплательщиков</w:t>
      </w:r>
      <w:r>
        <w:rPr>
          <w:bCs/>
          <w:sz w:val="26"/>
          <w:szCs w:val="26"/>
        </w:rPr>
        <w:t xml:space="preserve"> по обоим субъектам Российской Федерации</w:t>
      </w:r>
      <w:r w:rsidR="008C3851" w:rsidRPr="00045342">
        <w:rPr>
          <w:bCs/>
          <w:sz w:val="26"/>
          <w:szCs w:val="26"/>
        </w:rPr>
        <w:t>.</w:t>
      </w:r>
    </w:p>
    <w:p w:rsidR="00410B88" w:rsidRPr="00045342" w:rsidRDefault="00410B88" w:rsidP="00252AA1">
      <w:pPr>
        <w:pStyle w:val="1"/>
        <w:spacing w:before="120" w:after="0"/>
        <w:rPr>
          <w:szCs w:val="26"/>
        </w:rPr>
      </w:pPr>
      <w:r w:rsidRPr="00045342">
        <w:rPr>
          <w:szCs w:val="26"/>
        </w:rPr>
        <w:t>Денежные доходы и расходы населения</w:t>
      </w:r>
      <w:r w:rsidR="008C0FF0">
        <w:rPr>
          <w:szCs w:val="26"/>
        </w:rPr>
        <w:t>.</w:t>
      </w:r>
    </w:p>
    <w:p w:rsidR="00410B88" w:rsidRPr="00045342" w:rsidRDefault="00410B88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5342">
        <w:rPr>
          <w:rFonts w:eastAsia="Calibri"/>
          <w:sz w:val="26"/>
          <w:szCs w:val="26"/>
          <w:lang w:eastAsia="en-US"/>
        </w:rPr>
        <w:t>Денежные доходы населения в 2014 году составили 385,7 млрд. рублей (рост</w:t>
      </w:r>
      <w:r w:rsidRPr="00045342">
        <w:rPr>
          <w:rFonts w:eastAsia="Calibri"/>
          <w:sz w:val="26"/>
          <w:szCs w:val="26"/>
          <w:lang w:eastAsia="en-US"/>
        </w:rPr>
        <w:br/>
        <w:t xml:space="preserve">к уровню 2013 года составил 112,4%), при этом реальные располагаемые денежные доходы населения выросли на 4,7%. </w:t>
      </w:r>
    </w:p>
    <w:p w:rsidR="00410B88" w:rsidRPr="00045342" w:rsidRDefault="00410B88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5342">
        <w:rPr>
          <w:rFonts w:eastAsia="Calibri"/>
          <w:sz w:val="26"/>
          <w:szCs w:val="26"/>
          <w:lang w:eastAsia="en-US"/>
        </w:rPr>
        <w:t>В 2015 году денежные доходы населения оцениваются на уровне</w:t>
      </w:r>
      <w:r w:rsidRPr="00045342">
        <w:rPr>
          <w:rFonts w:eastAsia="Calibri"/>
          <w:sz w:val="26"/>
          <w:szCs w:val="26"/>
          <w:lang w:eastAsia="en-US"/>
        </w:rPr>
        <w:br/>
        <w:t>412,6 млрд. рублей, при этом реальные денежные доходы снизятся</w:t>
      </w:r>
      <w:r w:rsidR="00045342">
        <w:rPr>
          <w:rFonts w:eastAsia="Calibri"/>
          <w:sz w:val="26"/>
          <w:szCs w:val="26"/>
          <w:lang w:eastAsia="en-US"/>
        </w:rPr>
        <w:t xml:space="preserve"> </w:t>
      </w:r>
      <w:r w:rsidRPr="00045342">
        <w:rPr>
          <w:rFonts w:eastAsia="Calibri"/>
          <w:sz w:val="26"/>
          <w:szCs w:val="26"/>
          <w:lang w:eastAsia="en-US"/>
        </w:rPr>
        <w:t>на 7,1%. Замедление темпа роста реальных доходов по сравн</w:t>
      </w:r>
      <w:r w:rsidR="00E46F77" w:rsidRPr="00045342">
        <w:rPr>
          <w:rFonts w:eastAsia="Calibri"/>
          <w:sz w:val="26"/>
          <w:szCs w:val="26"/>
          <w:lang w:eastAsia="en-US"/>
        </w:rPr>
        <w:t xml:space="preserve">ению с предыдущим годом связано </w:t>
      </w:r>
      <w:r w:rsidRPr="00045342">
        <w:rPr>
          <w:rFonts w:eastAsia="Calibri"/>
          <w:sz w:val="26"/>
          <w:szCs w:val="26"/>
          <w:lang w:eastAsia="en-US"/>
        </w:rPr>
        <w:t>с</w:t>
      </w:r>
      <w:r w:rsidR="00FC6996">
        <w:rPr>
          <w:rFonts w:eastAsia="Calibri"/>
          <w:sz w:val="26"/>
          <w:szCs w:val="26"/>
          <w:lang w:eastAsia="en-US"/>
        </w:rPr>
        <w:t xml:space="preserve">о снижением темпов </w:t>
      </w:r>
      <w:r w:rsidRPr="00045342">
        <w:rPr>
          <w:rFonts w:eastAsia="Calibri"/>
          <w:sz w:val="26"/>
          <w:szCs w:val="26"/>
          <w:lang w:eastAsia="en-US"/>
        </w:rPr>
        <w:t>индексации заработной платы</w:t>
      </w:r>
      <w:r w:rsidR="00E46F77" w:rsidRPr="00045342">
        <w:rPr>
          <w:rFonts w:eastAsia="Calibri"/>
          <w:sz w:val="26"/>
          <w:szCs w:val="26"/>
          <w:lang w:eastAsia="en-US"/>
        </w:rPr>
        <w:t xml:space="preserve"> </w:t>
      </w:r>
      <w:r w:rsidRPr="00045342">
        <w:rPr>
          <w:rFonts w:eastAsia="Calibri"/>
          <w:sz w:val="26"/>
          <w:szCs w:val="26"/>
          <w:lang w:eastAsia="en-US"/>
        </w:rPr>
        <w:t>и ростом потребительских цен.</w:t>
      </w:r>
    </w:p>
    <w:p w:rsidR="00410B88" w:rsidRPr="00045342" w:rsidRDefault="00410B88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5342">
        <w:rPr>
          <w:rFonts w:eastAsia="Calibri"/>
          <w:sz w:val="26"/>
          <w:szCs w:val="26"/>
          <w:lang w:eastAsia="en-US"/>
        </w:rPr>
        <w:t>Объем денежных доходов в 2016 году составит по первому варианту прогноза 444,16 млрд. рублей, в 2018 году – 533,3 млрд. рублей.</w:t>
      </w:r>
    </w:p>
    <w:p w:rsidR="00410B88" w:rsidRPr="00045342" w:rsidRDefault="00410B88" w:rsidP="00D94221">
      <w:pPr>
        <w:spacing w:line="288" w:lineRule="auto"/>
        <w:ind w:firstLine="709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045342">
        <w:rPr>
          <w:rFonts w:eastAsia="Calibri"/>
          <w:sz w:val="26"/>
          <w:szCs w:val="26"/>
          <w:lang w:eastAsia="en-US"/>
        </w:rPr>
        <w:t>Расходы населения в 2014 году составили 375,4 млрд. рублей, в 2015 году</w:t>
      </w:r>
      <w:r w:rsidRPr="00045342">
        <w:rPr>
          <w:rFonts w:eastAsia="Calibri"/>
          <w:sz w:val="26"/>
          <w:szCs w:val="26"/>
          <w:lang w:eastAsia="en-US"/>
        </w:rPr>
        <w:br/>
        <w:t>по оценке расходы населения вырастут на 7% и составят – 401,8</w:t>
      </w:r>
      <w:r w:rsidRPr="00045342">
        <w:rPr>
          <w:rFonts w:eastAsia="Calibri"/>
          <w:spacing w:val="-4"/>
          <w:sz w:val="26"/>
          <w:szCs w:val="26"/>
          <w:lang w:eastAsia="en-US"/>
        </w:rPr>
        <w:t xml:space="preserve"> млрд. рублей. </w:t>
      </w:r>
    </w:p>
    <w:p w:rsidR="00410B88" w:rsidRPr="00045342" w:rsidRDefault="00410B88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5342">
        <w:rPr>
          <w:rFonts w:eastAsia="Calibri"/>
          <w:spacing w:val="-4"/>
          <w:sz w:val="26"/>
          <w:szCs w:val="26"/>
          <w:lang w:eastAsia="en-US"/>
        </w:rPr>
        <w:t xml:space="preserve">По первому варианту прогноза в 2016 году расходы </w:t>
      </w:r>
      <w:proofErr w:type="gramStart"/>
      <w:r w:rsidRPr="00045342">
        <w:rPr>
          <w:rFonts w:eastAsia="Calibri"/>
          <w:spacing w:val="-4"/>
          <w:sz w:val="26"/>
          <w:szCs w:val="26"/>
          <w:lang w:eastAsia="en-US"/>
        </w:rPr>
        <w:t>населения</w:t>
      </w:r>
      <w:proofErr w:type="gramEnd"/>
      <w:r w:rsidRPr="00045342">
        <w:rPr>
          <w:rFonts w:eastAsia="Calibri"/>
          <w:spacing w:val="-4"/>
          <w:sz w:val="26"/>
          <w:szCs w:val="26"/>
          <w:lang w:eastAsia="en-US"/>
        </w:rPr>
        <w:t xml:space="preserve"> достигнут </w:t>
      </w:r>
      <w:r w:rsidR="00045342" w:rsidRPr="00045342">
        <w:rPr>
          <w:rFonts w:eastAsia="Calibri"/>
          <w:spacing w:val="-4"/>
          <w:sz w:val="26"/>
          <w:szCs w:val="26"/>
          <w:lang w:eastAsia="en-US"/>
        </w:rPr>
        <w:br/>
      </w:r>
      <w:r w:rsidRPr="00045342">
        <w:rPr>
          <w:rFonts w:eastAsia="Calibri"/>
          <w:spacing w:val="-4"/>
          <w:sz w:val="26"/>
          <w:szCs w:val="26"/>
          <w:lang w:eastAsia="en-US"/>
        </w:rPr>
        <w:t>434,1 млрд. рублей. При этом на покупку товаров и оплату услуг будет израсходовано 329,9</w:t>
      </w:r>
      <w:r w:rsidRPr="00045342">
        <w:rPr>
          <w:rFonts w:eastAsia="Calibri"/>
          <w:sz w:val="26"/>
          <w:szCs w:val="26"/>
          <w:lang w:eastAsia="en-US"/>
        </w:rPr>
        <w:t xml:space="preserve"> млрд. рублей</w:t>
      </w:r>
      <w:r w:rsidRPr="00045342">
        <w:rPr>
          <w:rFonts w:eastAsia="Calibri"/>
          <w:spacing w:val="-4"/>
          <w:sz w:val="26"/>
          <w:szCs w:val="26"/>
          <w:lang w:eastAsia="en-US"/>
        </w:rPr>
        <w:t xml:space="preserve"> (74,3% от общего объёма денежных доходов), уплату налогов и взносов – </w:t>
      </w:r>
      <w:r w:rsidRPr="00045342">
        <w:rPr>
          <w:rFonts w:eastAsia="Calibri"/>
          <w:sz w:val="26"/>
          <w:szCs w:val="26"/>
          <w:lang w:eastAsia="en-US"/>
        </w:rPr>
        <w:t>46,2 млрд. рублей</w:t>
      </w:r>
      <w:r w:rsidRPr="00045342">
        <w:rPr>
          <w:rFonts w:eastAsia="Calibri"/>
          <w:spacing w:val="-4"/>
          <w:sz w:val="26"/>
          <w:szCs w:val="26"/>
          <w:lang w:eastAsia="en-US"/>
        </w:rPr>
        <w:t xml:space="preserve"> (10,4%).</w:t>
      </w:r>
    </w:p>
    <w:p w:rsidR="00410B88" w:rsidRPr="00045342" w:rsidRDefault="00410B88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5342">
        <w:rPr>
          <w:rFonts w:eastAsia="Calibri"/>
          <w:sz w:val="26"/>
          <w:szCs w:val="26"/>
          <w:lang w:eastAsia="en-US"/>
        </w:rPr>
        <w:t>В 2018 году расходы населения на покупку товаров и оплату услуг вырастут</w:t>
      </w:r>
      <w:r w:rsidRPr="00045342">
        <w:rPr>
          <w:rFonts w:eastAsia="Calibri"/>
          <w:sz w:val="26"/>
          <w:szCs w:val="26"/>
          <w:lang w:eastAsia="en-US"/>
        </w:rPr>
        <w:br/>
        <w:t>до 403,6 млрд. рублей, на уплату налогов и взносов до 54,7 млрд. рублей.</w:t>
      </w:r>
    </w:p>
    <w:p w:rsidR="00410B88" w:rsidRPr="00045342" w:rsidRDefault="00410B88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5342">
        <w:rPr>
          <w:rFonts w:eastAsia="Calibri"/>
          <w:sz w:val="26"/>
          <w:szCs w:val="26"/>
          <w:lang w:eastAsia="en-US"/>
        </w:rPr>
        <w:t>Превышение доходов над расходами населения в 2014 году составило</w:t>
      </w:r>
      <w:r w:rsidRPr="00045342">
        <w:rPr>
          <w:rFonts w:eastAsia="Calibri"/>
          <w:sz w:val="26"/>
          <w:szCs w:val="26"/>
          <w:lang w:eastAsia="en-US"/>
        </w:rPr>
        <w:br/>
        <w:t>10,3 млрд. рублей, или 2,7% от полученных доходов. По прогнозу к 2016 год эта доля превышения доходов над расходами снизится до 2,3%, к 2018 году до 1,8%.</w:t>
      </w:r>
    </w:p>
    <w:p w:rsidR="00410B88" w:rsidRPr="00045342" w:rsidRDefault="00410B88" w:rsidP="00D94221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045342">
        <w:rPr>
          <w:color w:val="000000"/>
          <w:sz w:val="26"/>
          <w:szCs w:val="26"/>
        </w:rPr>
        <w:lastRenderedPageBreak/>
        <w:t>В целом по области величина прожиточного минимума на душу населения</w:t>
      </w:r>
      <w:r w:rsidRPr="00045342">
        <w:rPr>
          <w:color w:val="000000"/>
          <w:sz w:val="26"/>
          <w:szCs w:val="26"/>
        </w:rPr>
        <w:br/>
        <w:t>за 2014 год составила 10756 рублей, что на 13,1</w:t>
      </w:r>
      <w:r w:rsidR="00FC6996">
        <w:rPr>
          <w:color w:val="000000"/>
          <w:sz w:val="26"/>
          <w:szCs w:val="26"/>
        </w:rPr>
        <w:t xml:space="preserve">% </w:t>
      </w:r>
      <w:r w:rsidRPr="00045342">
        <w:rPr>
          <w:color w:val="000000"/>
          <w:sz w:val="26"/>
          <w:szCs w:val="26"/>
        </w:rPr>
        <w:t xml:space="preserve">выше итогового значения </w:t>
      </w:r>
      <w:r w:rsidR="00FC6996">
        <w:rPr>
          <w:color w:val="000000"/>
          <w:sz w:val="26"/>
          <w:szCs w:val="26"/>
        </w:rPr>
        <w:br/>
      </w:r>
      <w:r w:rsidRPr="00045342">
        <w:rPr>
          <w:color w:val="000000"/>
          <w:sz w:val="26"/>
          <w:szCs w:val="26"/>
        </w:rPr>
        <w:t>за 2013 год.</w:t>
      </w:r>
    </w:p>
    <w:p w:rsidR="00410B88" w:rsidRPr="00045342" w:rsidRDefault="00410B88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045342">
        <w:rPr>
          <w:sz w:val="26"/>
          <w:szCs w:val="26"/>
        </w:rPr>
        <w:t>По предварительной оценке, величина прожиточного минимума в 2015 году достигнет 11</w:t>
      </w:r>
      <w:r w:rsidR="00045342" w:rsidRPr="00045342">
        <w:rPr>
          <w:sz w:val="26"/>
          <w:szCs w:val="26"/>
        </w:rPr>
        <w:t> </w:t>
      </w:r>
      <w:r w:rsidRPr="00045342">
        <w:rPr>
          <w:sz w:val="26"/>
          <w:szCs w:val="26"/>
        </w:rPr>
        <w:t xml:space="preserve">831,88 рубля, рост составит 10% по сравнению с 2014 годом. </w:t>
      </w:r>
      <w:r w:rsidR="00045342" w:rsidRPr="00045342">
        <w:rPr>
          <w:sz w:val="26"/>
          <w:szCs w:val="26"/>
        </w:rPr>
        <w:br/>
      </w:r>
      <w:r w:rsidRPr="00045342">
        <w:rPr>
          <w:sz w:val="26"/>
          <w:szCs w:val="26"/>
        </w:rPr>
        <w:t xml:space="preserve">С учетом  прогнозируемого ежегодного роста прожиточного минимума на 10%, </w:t>
      </w:r>
      <w:r w:rsidR="00045342" w:rsidRPr="00045342">
        <w:rPr>
          <w:sz w:val="26"/>
          <w:szCs w:val="26"/>
        </w:rPr>
        <w:br/>
      </w:r>
      <w:r w:rsidRPr="00045342">
        <w:rPr>
          <w:sz w:val="26"/>
          <w:szCs w:val="26"/>
        </w:rPr>
        <w:t>в 2018 году прожиточный минимум составит 15</w:t>
      </w:r>
      <w:r w:rsidR="00045342" w:rsidRPr="00045342">
        <w:rPr>
          <w:sz w:val="26"/>
          <w:szCs w:val="26"/>
        </w:rPr>
        <w:t> </w:t>
      </w:r>
      <w:r w:rsidRPr="00045342">
        <w:rPr>
          <w:sz w:val="26"/>
          <w:szCs w:val="26"/>
        </w:rPr>
        <w:t>748,23 рубля.</w:t>
      </w:r>
    </w:p>
    <w:p w:rsidR="00410B88" w:rsidRPr="00045342" w:rsidRDefault="00410B88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5342">
        <w:rPr>
          <w:rFonts w:eastAsia="Calibri"/>
          <w:sz w:val="26"/>
          <w:szCs w:val="26"/>
          <w:lang w:eastAsia="en-US"/>
        </w:rPr>
        <w:t>Численность населения с денежными дохо</w:t>
      </w:r>
      <w:r w:rsidR="009C2B9D" w:rsidRPr="00045342">
        <w:rPr>
          <w:rFonts w:eastAsia="Calibri"/>
          <w:sz w:val="26"/>
          <w:szCs w:val="26"/>
          <w:lang w:eastAsia="en-US"/>
        </w:rPr>
        <w:t>дами ниже прожиточного минимума</w:t>
      </w:r>
      <w:r w:rsidR="00FF0F97" w:rsidRPr="00045342">
        <w:rPr>
          <w:rFonts w:eastAsia="Calibri"/>
          <w:sz w:val="26"/>
          <w:szCs w:val="26"/>
          <w:lang w:eastAsia="en-US"/>
        </w:rPr>
        <w:t xml:space="preserve"> </w:t>
      </w:r>
      <w:r w:rsidRPr="00045342">
        <w:rPr>
          <w:rFonts w:eastAsia="Calibri"/>
          <w:sz w:val="26"/>
          <w:szCs w:val="26"/>
          <w:lang w:eastAsia="en-US"/>
        </w:rPr>
        <w:t>в 2014 году составила 13,8% против 13,9% в 2013 году. В 2015 году доля населения</w:t>
      </w:r>
      <w:r w:rsidR="00FF0F97" w:rsidRPr="00045342">
        <w:rPr>
          <w:rFonts w:eastAsia="Calibri"/>
          <w:sz w:val="26"/>
          <w:szCs w:val="26"/>
          <w:lang w:eastAsia="en-US"/>
        </w:rPr>
        <w:t xml:space="preserve"> </w:t>
      </w:r>
      <w:r w:rsidRPr="00045342">
        <w:rPr>
          <w:rFonts w:eastAsia="Calibri"/>
          <w:sz w:val="26"/>
          <w:szCs w:val="26"/>
          <w:lang w:eastAsia="en-US"/>
        </w:rPr>
        <w:t xml:space="preserve">с доходами ниже прожиточного минимума сохранится на уровне </w:t>
      </w:r>
      <w:r w:rsidR="00FC6996">
        <w:rPr>
          <w:rFonts w:eastAsia="Calibri"/>
          <w:sz w:val="26"/>
          <w:szCs w:val="26"/>
          <w:lang w:eastAsia="en-US"/>
        </w:rPr>
        <w:br/>
      </w:r>
      <w:r w:rsidRPr="00045342">
        <w:rPr>
          <w:rFonts w:eastAsia="Calibri"/>
          <w:sz w:val="26"/>
          <w:szCs w:val="26"/>
          <w:lang w:eastAsia="en-US"/>
        </w:rPr>
        <w:t>2013-2014 годов</w:t>
      </w:r>
      <w:r w:rsidR="00FC6996">
        <w:rPr>
          <w:rFonts w:eastAsia="Calibri"/>
          <w:sz w:val="26"/>
          <w:szCs w:val="26"/>
          <w:lang w:eastAsia="en-US"/>
        </w:rPr>
        <w:t xml:space="preserve"> </w:t>
      </w:r>
      <w:r w:rsidRPr="00045342">
        <w:rPr>
          <w:rFonts w:eastAsia="Calibri"/>
          <w:sz w:val="26"/>
          <w:szCs w:val="26"/>
          <w:lang w:eastAsia="en-US"/>
        </w:rPr>
        <w:t>– 13,8-13,9%. Снижение доли населения с доходами ниже прожиточного минимума</w:t>
      </w:r>
      <w:r w:rsidR="00FF0F97" w:rsidRPr="00045342">
        <w:rPr>
          <w:rFonts w:eastAsia="Calibri"/>
          <w:sz w:val="26"/>
          <w:szCs w:val="26"/>
          <w:lang w:eastAsia="en-US"/>
        </w:rPr>
        <w:t xml:space="preserve"> </w:t>
      </w:r>
      <w:r w:rsidRPr="00045342">
        <w:rPr>
          <w:rFonts w:eastAsia="Calibri"/>
          <w:sz w:val="26"/>
          <w:szCs w:val="26"/>
          <w:lang w:eastAsia="en-US"/>
        </w:rPr>
        <w:t xml:space="preserve">к 2018 году до 13,7% основано на прогнозируемом постепенном росте всех видов доходов и их реального содержания. </w:t>
      </w:r>
    </w:p>
    <w:p w:rsidR="00410B88" w:rsidRPr="006126CC" w:rsidRDefault="00410B88" w:rsidP="00252AA1">
      <w:pPr>
        <w:pStyle w:val="1"/>
        <w:spacing w:before="120" w:after="0"/>
        <w:rPr>
          <w:szCs w:val="26"/>
        </w:rPr>
      </w:pPr>
      <w:r w:rsidRPr="006126CC">
        <w:rPr>
          <w:szCs w:val="26"/>
        </w:rPr>
        <w:t>Численность работников и занятость</w:t>
      </w:r>
      <w:r w:rsidR="008C0FF0">
        <w:rPr>
          <w:szCs w:val="26"/>
        </w:rPr>
        <w:t>.</w:t>
      </w:r>
    </w:p>
    <w:p w:rsidR="00410B88" w:rsidRPr="006126CC" w:rsidRDefault="00410B88" w:rsidP="00D94221">
      <w:pPr>
        <w:widowControl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6126CC">
        <w:rPr>
          <w:sz w:val="26"/>
          <w:szCs w:val="26"/>
        </w:rPr>
        <w:t>Темпы изменения трудовых ресурсов в прогнозируемом периоде будут определяться динамикой численности основных возрастных групп населения: уменьшением численности населения трудоспособного возраста, которое обусловлено высоким уровнем смертности населения и отрицательным сальдо миграции населения</w:t>
      </w:r>
      <w:r w:rsidR="00BF15AC" w:rsidRPr="006126CC">
        <w:rPr>
          <w:sz w:val="26"/>
          <w:szCs w:val="26"/>
        </w:rPr>
        <w:t xml:space="preserve"> </w:t>
      </w:r>
      <w:r w:rsidRPr="006126CC">
        <w:rPr>
          <w:sz w:val="26"/>
          <w:szCs w:val="26"/>
        </w:rPr>
        <w:t xml:space="preserve">в трудоспособном возрасте. </w:t>
      </w:r>
    </w:p>
    <w:p w:rsidR="00410B88" w:rsidRPr="006126CC" w:rsidRDefault="00410B88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6126CC">
        <w:rPr>
          <w:sz w:val="26"/>
          <w:szCs w:val="26"/>
        </w:rPr>
        <w:t xml:space="preserve">В 2014 году численность трудовых ресурсов Архангельской области по оценке составила 696,08 тыс. человек. По прогнозу, ожидается снижение численности трудовых ресурсов, и к 2018 году этот показатель составит 677,18 тыс. человек. Основное пополнение трудовых ресурсов будет происходить за счет </w:t>
      </w:r>
      <w:r w:rsidR="00CC2E80">
        <w:rPr>
          <w:sz w:val="26"/>
          <w:szCs w:val="26"/>
        </w:rPr>
        <w:t>лиц старших поколений</w:t>
      </w:r>
      <w:r w:rsidRPr="006126CC">
        <w:rPr>
          <w:sz w:val="26"/>
          <w:szCs w:val="26"/>
        </w:rPr>
        <w:t>.</w:t>
      </w:r>
    </w:p>
    <w:p w:rsidR="00410B88" w:rsidRPr="006126CC" w:rsidRDefault="00410B88" w:rsidP="00D9422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6126CC">
        <w:rPr>
          <w:rFonts w:eastAsia="Arial Unicode MS"/>
          <w:sz w:val="26"/>
          <w:szCs w:val="26"/>
        </w:rPr>
        <w:t>Среднегодовая численность занятых в экономике Архангельской области</w:t>
      </w:r>
      <w:r w:rsidRPr="006126CC">
        <w:rPr>
          <w:rFonts w:eastAsia="Arial Unicode MS"/>
          <w:sz w:val="26"/>
          <w:szCs w:val="26"/>
        </w:rPr>
        <w:br/>
        <w:t>в 2014 году составила 561,14 тыс. человек, что на 0,8% ниже, чем в 2013 году. Численность занятых в 2015 году прогнозируется также со снижением на 0,8%</w:t>
      </w:r>
      <w:r w:rsidRPr="006126CC">
        <w:rPr>
          <w:rFonts w:eastAsia="Arial Unicode MS"/>
          <w:sz w:val="26"/>
          <w:szCs w:val="26"/>
        </w:rPr>
        <w:br/>
        <w:t>(556,71 тыс. человек). По прогнозу, к 2018 году данный показатель составит</w:t>
      </w:r>
      <w:r w:rsidRPr="006126CC">
        <w:rPr>
          <w:rFonts w:eastAsia="Arial Unicode MS"/>
          <w:sz w:val="26"/>
          <w:szCs w:val="26"/>
        </w:rPr>
        <w:br/>
        <w:t>545,9-550,3 тыс. человек.</w:t>
      </w:r>
      <w:r w:rsidRPr="006126CC">
        <w:rPr>
          <w:sz w:val="26"/>
          <w:szCs w:val="26"/>
        </w:rPr>
        <w:t xml:space="preserve"> На прогнозируемое сокращение численности </w:t>
      </w:r>
      <w:proofErr w:type="gramStart"/>
      <w:r w:rsidRPr="006126CC">
        <w:rPr>
          <w:sz w:val="26"/>
          <w:szCs w:val="26"/>
        </w:rPr>
        <w:t>занятых</w:t>
      </w:r>
      <w:proofErr w:type="gramEnd"/>
      <w:r w:rsidRPr="006126CC">
        <w:rPr>
          <w:sz w:val="26"/>
          <w:szCs w:val="26"/>
        </w:rPr>
        <w:br/>
        <w:t>в экономике значительное влияние будет оказывать демографическая ситуация</w:t>
      </w:r>
      <w:r w:rsidRPr="006126CC">
        <w:rPr>
          <w:sz w:val="26"/>
          <w:szCs w:val="26"/>
        </w:rPr>
        <w:br/>
        <w:t xml:space="preserve">и миграционные процессы в Архангельской области. </w:t>
      </w:r>
    </w:p>
    <w:p w:rsidR="00410B88" w:rsidRPr="006126CC" w:rsidRDefault="00410B88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6126CC">
        <w:rPr>
          <w:sz w:val="26"/>
          <w:szCs w:val="26"/>
        </w:rPr>
        <w:t>Общая численность безработных граждан в среднем за 2014 год, по данным обследования населения по проблемам занятости Росстата, составила 43,1 тыс. человек, уровень общей безработицы – 7,29% к численнос</w:t>
      </w:r>
      <w:r w:rsidR="00BF15AC" w:rsidRPr="006126CC">
        <w:rPr>
          <w:sz w:val="26"/>
          <w:szCs w:val="26"/>
        </w:rPr>
        <w:t xml:space="preserve">ти </w:t>
      </w:r>
      <w:r w:rsidR="006126CC" w:rsidRPr="006126CC">
        <w:rPr>
          <w:sz w:val="26"/>
          <w:szCs w:val="26"/>
        </w:rPr>
        <w:t>экономически активного населения</w:t>
      </w:r>
      <w:r w:rsidR="00BF15AC" w:rsidRPr="006126CC">
        <w:rPr>
          <w:sz w:val="26"/>
          <w:szCs w:val="26"/>
        </w:rPr>
        <w:t xml:space="preserve">, что выше показателей </w:t>
      </w:r>
      <w:r w:rsidRPr="006126CC">
        <w:rPr>
          <w:sz w:val="26"/>
          <w:szCs w:val="26"/>
        </w:rPr>
        <w:t xml:space="preserve">за 2013 год на 17,9% и 1,28 процентных пункта соответственно. По прогнозу, к 2018 году численность безработных </w:t>
      </w:r>
      <w:r w:rsidR="001F2CA8">
        <w:rPr>
          <w:sz w:val="26"/>
          <w:szCs w:val="26"/>
        </w:rPr>
        <w:br/>
      </w:r>
      <w:r w:rsidRPr="006126CC">
        <w:rPr>
          <w:sz w:val="26"/>
          <w:szCs w:val="26"/>
        </w:rPr>
        <w:t xml:space="preserve">по методологии </w:t>
      </w:r>
      <w:r w:rsidR="006126CC" w:rsidRPr="006126CC">
        <w:rPr>
          <w:sz w:val="26"/>
          <w:szCs w:val="26"/>
        </w:rPr>
        <w:t>Международной организации труда</w:t>
      </w:r>
      <w:r w:rsidRPr="006126CC">
        <w:rPr>
          <w:sz w:val="26"/>
          <w:szCs w:val="26"/>
        </w:rPr>
        <w:t xml:space="preserve"> может сократиться до 40-39 тыс. человек, что связано с общей тенденцией сокращения трудовых ресурсов. </w:t>
      </w:r>
    </w:p>
    <w:p w:rsidR="00410B88" w:rsidRPr="00766E48" w:rsidRDefault="00410B88" w:rsidP="00D94221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6126CC">
        <w:rPr>
          <w:sz w:val="26"/>
          <w:szCs w:val="26"/>
        </w:rPr>
        <w:t>На конец</w:t>
      </w:r>
      <w:proofErr w:type="gramEnd"/>
      <w:r w:rsidRPr="006126CC">
        <w:rPr>
          <w:sz w:val="26"/>
          <w:szCs w:val="26"/>
        </w:rPr>
        <w:t xml:space="preserve"> 2014 года численность безработных граждан, зарегистрированных</w:t>
      </w:r>
      <w:r w:rsidRPr="006126CC">
        <w:rPr>
          <w:sz w:val="26"/>
          <w:szCs w:val="26"/>
        </w:rPr>
        <w:br/>
        <w:t>в органах службы занятости Архангельской области, составила 9</w:t>
      </w:r>
      <w:r w:rsidR="006126CC" w:rsidRPr="006126CC">
        <w:rPr>
          <w:sz w:val="26"/>
          <w:szCs w:val="26"/>
        </w:rPr>
        <w:t> </w:t>
      </w:r>
      <w:r w:rsidRPr="006126CC">
        <w:rPr>
          <w:sz w:val="26"/>
          <w:szCs w:val="26"/>
        </w:rPr>
        <w:t xml:space="preserve">284 человека, </w:t>
      </w:r>
      <w:r w:rsidRPr="006126CC">
        <w:rPr>
          <w:sz w:val="26"/>
          <w:szCs w:val="26"/>
        </w:rPr>
        <w:lastRenderedPageBreak/>
        <w:t xml:space="preserve">уровень регистрируемой безработицы – 1,57% к численности </w:t>
      </w:r>
      <w:r w:rsidR="006126CC" w:rsidRPr="006126CC">
        <w:rPr>
          <w:sz w:val="26"/>
          <w:szCs w:val="26"/>
        </w:rPr>
        <w:t>экономически активного населения</w:t>
      </w:r>
      <w:r w:rsidRPr="006126CC">
        <w:rPr>
          <w:sz w:val="26"/>
          <w:szCs w:val="26"/>
        </w:rPr>
        <w:t xml:space="preserve">. Численность зарегистрированных безработных к концу </w:t>
      </w:r>
      <w:r w:rsidR="001F2CA8">
        <w:rPr>
          <w:sz w:val="26"/>
          <w:szCs w:val="26"/>
        </w:rPr>
        <w:br/>
      </w:r>
      <w:r w:rsidRPr="006126CC">
        <w:rPr>
          <w:sz w:val="26"/>
          <w:szCs w:val="26"/>
        </w:rPr>
        <w:t xml:space="preserve">2018 года </w:t>
      </w:r>
      <w:r w:rsidR="009C2B9D" w:rsidRPr="006126CC">
        <w:rPr>
          <w:sz w:val="26"/>
          <w:szCs w:val="26"/>
        </w:rPr>
        <w:t xml:space="preserve">в зависимости </w:t>
      </w:r>
      <w:r w:rsidRPr="006126CC">
        <w:rPr>
          <w:sz w:val="26"/>
          <w:szCs w:val="26"/>
        </w:rPr>
        <w:t xml:space="preserve">от вариантов может составить 10-9,5 тыс. человек, уровень </w:t>
      </w:r>
      <w:r w:rsidRPr="00766E48">
        <w:rPr>
          <w:sz w:val="26"/>
          <w:szCs w:val="26"/>
        </w:rPr>
        <w:t xml:space="preserve">регистрируемой безработицы – 1,72-1,62%. </w:t>
      </w:r>
    </w:p>
    <w:p w:rsidR="00410B88" w:rsidRPr="00766E48" w:rsidRDefault="00410B88" w:rsidP="00252AA1">
      <w:pPr>
        <w:pStyle w:val="2"/>
        <w:spacing w:before="120" w:after="0" w:line="288" w:lineRule="auto"/>
        <w:rPr>
          <w:sz w:val="26"/>
        </w:rPr>
      </w:pPr>
      <w:r w:rsidRPr="00766E48">
        <w:rPr>
          <w:sz w:val="26"/>
        </w:rPr>
        <w:t>Фонд заработной платы</w:t>
      </w:r>
      <w:r w:rsidR="008C0FF0">
        <w:rPr>
          <w:sz w:val="26"/>
        </w:rPr>
        <w:t>.</w:t>
      </w:r>
    </w:p>
    <w:p w:rsidR="00410B88" w:rsidRPr="00766E48" w:rsidRDefault="00410B88" w:rsidP="00D94221">
      <w:pPr>
        <w:spacing w:line="288" w:lineRule="auto"/>
        <w:ind w:firstLine="709"/>
        <w:jc w:val="both"/>
        <w:rPr>
          <w:bCs/>
          <w:sz w:val="26"/>
          <w:szCs w:val="26"/>
        </w:rPr>
      </w:pPr>
      <w:r w:rsidRPr="00766E48">
        <w:rPr>
          <w:bCs/>
          <w:sz w:val="26"/>
          <w:szCs w:val="26"/>
        </w:rPr>
        <w:t>При подготовке прогноза по фонду заработной платы использованы:</w:t>
      </w:r>
    </w:p>
    <w:p w:rsidR="00410B88" w:rsidRPr="00766E48" w:rsidRDefault="00410B88" w:rsidP="00D94221">
      <w:pPr>
        <w:spacing w:line="288" w:lineRule="auto"/>
        <w:ind w:firstLine="709"/>
        <w:jc w:val="both"/>
        <w:rPr>
          <w:bCs/>
          <w:sz w:val="26"/>
          <w:szCs w:val="26"/>
        </w:rPr>
      </w:pPr>
      <w:r w:rsidRPr="00766E48">
        <w:rPr>
          <w:bCs/>
          <w:sz w:val="26"/>
          <w:szCs w:val="26"/>
        </w:rPr>
        <w:t>прогноз Администрации Ненецкого автономного округа;</w:t>
      </w:r>
    </w:p>
    <w:p w:rsidR="00410B88" w:rsidRPr="00766E48" w:rsidRDefault="00410B88" w:rsidP="00D94221">
      <w:pPr>
        <w:spacing w:line="288" w:lineRule="auto"/>
        <w:ind w:firstLine="709"/>
        <w:jc w:val="both"/>
        <w:rPr>
          <w:bCs/>
          <w:sz w:val="26"/>
          <w:szCs w:val="26"/>
        </w:rPr>
      </w:pPr>
      <w:r w:rsidRPr="00766E48">
        <w:rPr>
          <w:bCs/>
          <w:sz w:val="26"/>
          <w:szCs w:val="26"/>
        </w:rPr>
        <w:t>материалы прогнозов социально-экономического развития городских округов и муниципальных районов Архангельской области;</w:t>
      </w:r>
    </w:p>
    <w:p w:rsidR="00410B88" w:rsidRPr="00766E48" w:rsidRDefault="00410B88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766E48">
        <w:rPr>
          <w:bCs/>
          <w:sz w:val="26"/>
          <w:szCs w:val="26"/>
        </w:rPr>
        <w:t xml:space="preserve">прогнозы, предоставленные </w:t>
      </w:r>
      <w:r w:rsidRPr="00766E48">
        <w:rPr>
          <w:sz w:val="26"/>
          <w:szCs w:val="26"/>
        </w:rPr>
        <w:t xml:space="preserve"> крупнейшими предприятиями, осуществляющими свою деятельность на территории Архангельской области, </w:t>
      </w:r>
      <w:r w:rsidR="001F2CA8">
        <w:rPr>
          <w:sz w:val="26"/>
          <w:szCs w:val="26"/>
        </w:rPr>
        <w:br/>
      </w:r>
      <w:r w:rsidRPr="00766E48">
        <w:rPr>
          <w:sz w:val="26"/>
          <w:szCs w:val="26"/>
        </w:rPr>
        <w:t>а также головными (управляющими) компаниями, чьи филиалы осуществляют свою деятельность на территории области;</w:t>
      </w:r>
    </w:p>
    <w:p w:rsidR="00410B88" w:rsidRPr="00766E48" w:rsidRDefault="00410B88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766E48">
        <w:rPr>
          <w:sz w:val="26"/>
          <w:szCs w:val="26"/>
        </w:rPr>
        <w:t>прогнозы государственных внебюджетных фондов Российской Федерации;</w:t>
      </w:r>
    </w:p>
    <w:p w:rsidR="00410B88" w:rsidRPr="00766E48" w:rsidRDefault="00410B88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766E48">
        <w:rPr>
          <w:sz w:val="26"/>
          <w:szCs w:val="26"/>
        </w:rPr>
        <w:t>учреждениями банковской сферы;</w:t>
      </w:r>
    </w:p>
    <w:p w:rsidR="00410B88" w:rsidRPr="00766E48" w:rsidRDefault="00410B88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766E48">
        <w:rPr>
          <w:sz w:val="26"/>
          <w:szCs w:val="26"/>
        </w:rPr>
        <w:t xml:space="preserve">материалы прогнозов, предоставленные территориальными подразделениями федеральных органов государственной власти, </w:t>
      </w:r>
    </w:p>
    <w:p w:rsidR="00410B88" w:rsidRPr="00766E48" w:rsidRDefault="00410B88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766E48">
        <w:rPr>
          <w:sz w:val="26"/>
          <w:szCs w:val="26"/>
        </w:rPr>
        <w:t>прогнозы исполнительных органов государственной власти Архангельской области  по курируемым видам экономической деятельности;</w:t>
      </w:r>
    </w:p>
    <w:p w:rsidR="00410B88" w:rsidRPr="00766E48" w:rsidRDefault="00410B88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766E48">
        <w:rPr>
          <w:sz w:val="26"/>
          <w:szCs w:val="26"/>
        </w:rPr>
        <w:t>данные о планируемых объемах работ на федеральной автомобильной дороге М-8 «Холмогоры»</w:t>
      </w:r>
      <w:r w:rsidR="00CC2E80">
        <w:rPr>
          <w:sz w:val="26"/>
          <w:szCs w:val="26"/>
        </w:rPr>
        <w:t xml:space="preserve"> и иных инвестиционных проектах</w:t>
      </w:r>
      <w:r w:rsidRPr="00766E48">
        <w:rPr>
          <w:sz w:val="26"/>
          <w:szCs w:val="26"/>
        </w:rPr>
        <w:t>.</w:t>
      </w:r>
    </w:p>
    <w:p w:rsidR="00410B88" w:rsidRPr="00CC2E80" w:rsidRDefault="00410B88" w:rsidP="00D94221">
      <w:pPr>
        <w:spacing w:line="288" w:lineRule="auto"/>
        <w:ind w:firstLine="709"/>
        <w:jc w:val="both"/>
        <w:rPr>
          <w:bCs/>
          <w:sz w:val="26"/>
          <w:szCs w:val="26"/>
        </w:rPr>
      </w:pPr>
      <w:r w:rsidRPr="00CC2E80">
        <w:rPr>
          <w:bCs/>
          <w:sz w:val="26"/>
          <w:szCs w:val="26"/>
        </w:rPr>
        <w:t xml:space="preserve">За 2014 год по </w:t>
      </w:r>
      <w:r w:rsidR="00766E48" w:rsidRPr="00CC2E80">
        <w:rPr>
          <w:bCs/>
          <w:sz w:val="26"/>
          <w:szCs w:val="26"/>
        </w:rPr>
        <w:t xml:space="preserve">данным </w:t>
      </w:r>
      <w:proofErr w:type="spellStart"/>
      <w:r w:rsidR="00766E48" w:rsidRPr="00CC2E80">
        <w:rPr>
          <w:bCs/>
          <w:sz w:val="26"/>
          <w:szCs w:val="26"/>
        </w:rPr>
        <w:t>Архангельскстата</w:t>
      </w:r>
      <w:proofErr w:type="spellEnd"/>
      <w:r w:rsidR="00766E48" w:rsidRPr="00CC2E80">
        <w:rPr>
          <w:bCs/>
          <w:sz w:val="26"/>
          <w:szCs w:val="26"/>
        </w:rPr>
        <w:t xml:space="preserve"> п</w:t>
      </w:r>
      <w:r w:rsidRPr="00CC2E80">
        <w:rPr>
          <w:sz w:val="26"/>
          <w:szCs w:val="26"/>
        </w:rPr>
        <w:t xml:space="preserve">о полному кругу организаций Архангельской области </w:t>
      </w:r>
      <w:r w:rsidRPr="00CC2E80">
        <w:rPr>
          <w:bCs/>
          <w:sz w:val="26"/>
          <w:szCs w:val="26"/>
        </w:rPr>
        <w:t xml:space="preserve">фонд заработной платы </w:t>
      </w:r>
      <w:r w:rsidRPr="00CC2E80">
        <w:rPr>
          <w:sz w:val="26"/>
          <w:szCs w:val="26"/>
        </w:rPr>
        <w:t xml:space="preserve">составил 149,1 млрд. рублей. </w:t>
      </w:r>
      <w:r w:rsidR="00CC2E80">
        <w:rPr>
          <w:sz w:val="26"/>
          <w:szCs w:val="26"/>
        </w:rPr>
        <w:br/>
      </w:r>
      <w:r w:rsidRPr="00CC2E80">
        <w:rPr>
          <w:bCs/>
          <w:sz w:val="26"/>
          <w:szCs w:val="26"/>
        </w:rPr>
        <w:t xml:space="preserve">В текущем году темп роста фонда заработной платы по полному кругу предприятий </w:t>
      </w:r>
      <w:r w:rsidR="008C0FF0" w:rsidRPr="00CC2E80">
        <w:rPr>
          <w:bCs/>
          <w:sz w:val="26"/>
          <w:szCs w:val="26"/>
        </w:rPr>
        <w:br/>
      </w:r>
      <w:r w:rsidRPr="00CC2E80">
        <w:rPr>
          <w:bCs/>
          <w:sz w:val="26"/>
          <w:szCs w:val="26"/>
        </w:rPr>
        <w:t>в январе-</w:t>
      </w:r>
      <w:r w:rsidR="00252AA1" w:rsidRPr="00CC2E80">
        <w:rPr>
          <w:bCs/>
          <w:sz w:val="26"/>
          <w:szCs w:val="26"/>
        </w:rPr>
        <w:t>августе</w:t>
      </w:r>
      <w:r w:rsidRPr="00CC2E80">
        <w:rPr>
          <w:bCs/>
          <w:sz w:val="26"/>
          <w:szCs w:val="26"/>
        </w:rPr>
        <w:t xml:space="preserve"> к аналогичному периоду прошлого года составил 106,2%, при этом среднемесячная заработная плата к аналогичному периоду прошлого года выросла </w:t>
      </w:r>
      <w:r w:rsidR="008C0FF0" w:rsidRPr="00CC2E80">
        <w:rPr>
          <w:bCs/>
          <w:sz w:val="26"/>
          <w:szCs w:val="26"/>
        </w:rPr>
        <w:br/>
      </w:r>
      <w:r w:rsidRPr="00CC2E80">
        <w:rPr>
          <w:bCs/>
          <w:sz w:val="26"/>
          <w:szCs w:val="26"/>
        </w:rPr>
        <w:t xml:space="preserve">на 7,7%. </w:t>
      </w:r>
    </w:p>
    <w:p w:rsidR="00410B88" w:rsidRPr="000158C0" w:rsidRDefault="00410B88" w:rsidP="00D94221">
      <w:pPr>
        <w:spacing w:line="288" w:lineRule="auto"/>
        <w:ind w:firstLine="709"/>
        <w:jc w:val="both"/>
        <w:rPr>
          <w:bCs/>
          <w:sz w:val="26"/>
          <w:szCs w:val="26"/>
        </w:rPr>
      </w:pPr>
      <w:r w:rsidRPr="000158C0">
        <w:rPr>
          <w:bCs/>
          <w:sz w:val="26"/>
          <w:szCs w:val="26"/>
        </w:rPr>
        <w:t xml:space="preserve">С учетом процессов замедления темпов роста заработной платы и сокращения численности работников в целом за 2015 год фонд заработной платы </w:t>
      </w:r>
      <w:r w:rsidR="001F2CA8">
        <w:rPr>
          <w:bCs/>
          <w:sz w:val="26"/>
          <w:szCs w:val="26"/>
        </w:rPr>
        <w:br/>
      </w:r>
      <w:r w:rsidRPr="000158C0">
        <w:rPr>
          <w:bCs/>
          <w:sz w:val="26"/>
          <w:szCs w:val="26"/>
        </w:rPr>
        <w:t xml:space="preserve">по Архангельской области по оценке составит </w:t>
      </w:r>
      <w:r w:rsidR="00252AA1">
        <w:rPr>
          <w:bCs/>
          <w:sz w:val="26"/>
          <w:szCs w:val="26"/>
        </w:rPr>
        <w:t xml:space="preserve">154,9 </w:t>
      </w:r>
      <w:r w:rsidRPr="000158C0">
        <w:rPr>
          <w:bCs/>
          <w:sz w:val="26"/>
          <w:szCs w:val="26"/>
        </w:rPr>
        <w:t xml:space="preserve">млрд. рублей с ростом к уровню 2014 года на </w:t>
      </w:r>
      <w:r w:rsidR="00252AA1">
        <w:rPr>
          <w:bCs/>
          <w:sz w:val="26"/>
          <w:szCs w:val="26"/>
        </w:rPr>
        <w:t>3,8</w:t>
      </w:r>
      <w:r w:rsidRPr="000158C0">
        <w:rPr>
          <w:bCs/>
          <w:sz w:val="26"/>
          <w:szCs w:val="26"/>
        </w:rPr>
        <w:t xml:space="preserve">%. </w:t>
      </w:r>
    </w:p>
    <w:p w:rsidR="00410B88" w:rsidRPr="000158C0" w:rsidRDefault="00410B88" w:rsidP="00D94221">
      <w:pPr>
        <w:spacing w:line="288" w:lineRule="auto"/>
        <w:ind w:firstLine="709"/>
        <w:jc w:val="both"/>
        <w:rPr>
          <w:bCs/>
          <w:sz w:val="26"/>
          <w:szCs w:val="26"/>
        </w:rPr>
      </w:pPr>
      <w:r w:rsidRPr="000158C0">
        <w:rPr>
          <w:bCs/>
          <w:sz w:val="26"/>
          <w:szCs w:val="26"/>
        </w:rPr>
        <w:t xml:space="preserve">При этом среднемесячная заработная плата в 2015 году возрастет на 6,0% </w:t>
      </w:r>
      <w:r w:rsidR="00CC2E80">
        <w:rPr>
          <w:bCs/>
          <w:sz w:val="26"/>
          <w:szCs w:val="26"/>
        </w:rPr>
        <w:br/>
        <w:t xml:space="preserve">к </w:t>
      </w:r>
      <w:r w:rsidRPr="000158C0">
        <w:rPr>
          <w:bCs/>
          <w:sz w:val="26"/>
          <w:szCs w:val="26"/>
        </w:rPr>
        <w:t xml:space="preserve">уровню 2014 года, численность работников снизится на </w:t>
      </w:r>
      <w:r w:rsidR="00252AA1">
        <w:rPr>
          <w:bCs/>
          <w:sz w:val="26"/>
          <w:szCs w:val="26"/>
        </w:rPr>
        <w:t>2,1</w:t>
      </w:r>
      <w:r w:rsidRPr="000158C0">
        <w:rPr>
          <w:bCs/>
          <w:sz w:val="26"/>
          <w:szCs w:val="26"/>
        </w:rPr>
        <w:t>%. Снижение численности работников будет происходить почти во всех муниципальных образованиях.</w:t>
      </w:r>
    </w:p>
    <w:p w:rsidR="00410B88" w:rsidRPr="000158C0" w:rsidRDefault="00410B88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158C0">
        <w:rPr>
          <w:rFonts w:eastAsia="Calibri"/>
          <w:sz w:val="26"/>
          <w:szCs w:val="26"/>
          <w:lang w:eastAsia="en-US"/>
        </w:rPr>
        <w:t xml:space="preserve">В 2016 году фонд начисленной заработной платы по первому варианту прогноза составит </w:t>
      </w:r>
      <w:r w:rsidR="009674EE">
        <w:rPr>
          <w:rFonts w:eastAsia="Calibri"/>
          <w:sz w:val="26"/>
          <w:szCs w:val="26"/>
          <w:lang w:eastAsia="en-US"/>
        </w:rPr>
        <w:t>160,4</w:t>
      </w:r>
      <w:r w:rsidRPr="000158C0">
        <w:rPr>
          <w:rFonts w:eastAsia="Calibri"/>
          <w:sz w:val="26"/>
          <w:szCs w:val="26"/>
          <w:lang w:eastAsia="en-US"/>
        </w:rPr>
        <w:t xml:space="preserve"> млрд. рублей с ростом на </w:t>
      </w:r>
      <w:r w:rsidR="009674EE">
        <w:rPr>
          <w:rFonts w:eastAsia="Calibri"/>
          <w:sz w:val="26"/>
          <w:szCs w:val="26"/>
          <w:lang w:eastAsia="en-US"/>
        </w:rPr>
        <w:t>3,6</w:t>
      </w:r>
      <w:r w:rsidRPr="000158C0">
        <w:rPr>
          <w:rFonts w:eastAsia="Calibri"/>
          <w:sz w:val="26"/>
          <w:szCs w:val="26"/>
          <w:lang w:eastAsia="en-US"/>
        </w:rPr>
        <w:t xml:space="preserve">% к предыдущему году. </w:t>
      </w:r>
      <w:r w:rsidR="000158C0">
        <w:rPr>
          <w:rFonts w:eastAsia="Calibri"/>
          <w:sz w:val="26"/>
          <w:szCs w:val="26"/>
          <w:lang w:eastAsia="en-US"/>
        </w:rPr>
        <w:br/>
      </w:r>
      <w:r w:rsidRPr="000158C0">
        <w:rPr>
          <w:rFonts w:eastAsia="Calibri"/>
          <w:sz w:val="26"/>
          <w:szCs w:val="26"/>
          <w:lang w:eastAsia="en-US"/>
        </w:rPr>
        <w:t xml:space="preserve">В 2018 году фонд заработной платы по первому варианту прогноза составит </w:t>
      </w:r>
      <w:r w:rsidR="000158C0">
        <w:rPr>
          <w:rFonts w:eastAsia="Calibri"/>
          <w:sz w:val="26"/>
          <w:szCs w:val="26"/>
          <w:lang w:eastAsia="en-US"/>
        </w:rPr>
        <w:br/>
      </w:r>
      <w:r w:rsidR="009674EE">
        <w:rPr>
          <w:rFonts w:eastAsia="Calibri"/>
          <w:sz w:val="26"/>
          <w:szCs w:val="26"/>
          <w:lang w:eastAsia="en-US"/>
        </w:rPr>
        <w:t>191,4</w:t>
      </w:r>
      <w:r w:rsidRPr="000158C0">
        <w:rPr>
          <w:rFonts w:eastAsia="Calibri"/>
          <w:sz w:val="26"/>
          <w:szCs w:val="26"/>
          <w:lang w:eastAsia="en-US"/>
        </w:rPr>
        <w:t xml:space="preserve"> млрд. рублей. </w:t>
      </w:r>
    </w:p>
    <w:p w:rsidR="00410B88" w:rsidRPr="000158C0" w:rsidRDefault="00410B88" w:rsidP="00D94221">
      <w:pPr>
        <w:spacing w:line="288" w:lineRule="auto"/>
        <w:ind w:firstLine="720"/>
        <w:jc w:val="both"/>
        <w:rPr>
          <w:sz w:val="26"/>
          <w:szCs w:val="26"/>
        </w:rPr>
      </w:pPr>
      <w:r w:rsidRPr="000158C0">
        <w:rPr>
          <w:sz w:val="26"/>
          <w:szCs w:val="26"/>
        </w:rPr>
        <w:lastRenderedPageBreak/>
        <w:t>По прогнозу Администрации Ненецкого автономного округа в 2016-2018 годах в округе предусматривается рост численности работающих. В 2016 году среднегодовая численность работников составит 31,</w:t>
      </w:r>
      <w:r w:rsidR="00AD02D5" w:rsidRPr="000158C0">
        <w:rPr>
          <w:sz w:val="26"/>
          <w:szCs w:val="26"/>
        </w:rPr>
        <w:t>6</w:t>
      </w:r>
      <w:r w:rsidRPr="000158C0">
        <w:rPr>
          <w:sz w:val="26"/>
          <w:szCs w:val="26"/>
        </w:rPr>
        <w:t xml:space="preserve"> тыс. человек, в 2018 году – 32,2-32,5 тыс. человек, фонд заработной платы в 2016 году составит 2</w:t>
      </w:r>
      <w:r w:rsidR="00AD02D5" w:rsidRPr="000158C0">
        <w:rPr>
          <w:sz w:val="26"/>
          <w:szCs w:val="26"/>
        </w:rPr>
        <w:t>6,5</w:t>
      </w:r>
      <w:r w:rsidRPr="000158C0">
        <w:rPr>
          <w:sz w:val="26"/>
          <w:szCs w:val="26"/>
        </w:rPr>
        <w:t>-27,</w:t>
      </w:r>
      <w:r w:rsidR="00AD02D5" w:rsidRPr="000158C0">
        <w:rPr>
          <w:sz w:val="26"/>
          <w:szCs w:val="26"/>
        </w:rPr>
        <w:t>3</w:t>
      </w:r>
      <w:r w:rsidRPr="000158C0">
        <w:rPr>
          <w:sz w:val="26"/>
          <w:szCs w:val="26"/>
        </w:rPr>
        <w:t xml:space="preserve"> млрд. рублей, в 2018 году </w:t>
      </w:r>
      <w:r w:rsidRPr="000158C0">
        <w:rPr>
          <w:bCs/>
          <w:sz w:val="26"/>
          <w:szCs w:val="26"/>
        </w:rPr>
        <w:t>–</w:t>
      </w:r>
      <w:r w:rsidR="009D3ECD">
        <w:rPr>
          <w:bCs/>
          <w:sz w:val="26"/>
          <w:szCs w:val="26"/>
        </w:rPr>
        <w:t xml:space="preserve"> </w:t>
      </w:r>
      <w:r w:rsidRPr="000158C0">
        <w:rPr>
          <w:sz w:val="26"/>
          <w:szCs w:val="26"/>
        </w:rPr>
        <w:t>28,4-29,1 млрд. рублей.</w:t>
      </w:r>
    </w:p>
    <w:p w:rsidR="00FC7B3C" w:rsidRPr="009D6B20" w:rsidRDefault="00FC7B3C" w:rsidP="009D6B20">
      <w:pPr>
        <w:pStyle w:val="1"/>
        <w:spacing w:before="120" w:after="0"/>
        <w:rPr>
          <w:szCs w:val="26"/>
        </w:rPr>
      </w:pPr>
      <w:r w:rsidRPr="000158C0">
        <w:rPr>
          <w:szCs w:val="26"/>
        </w:rPr>
        <w:t>Развитие социальной сферы</w:t>
      </w:r>
      <w:r w:rsidR="009D6B20">
        <w:rPr>
          <w:szCs w:val="26"/>
        </w:rPr>
        <w:t>.</w:t>
      </w:r>
    </w:p>
    <w:p w:rsidR="00FC7B3C" w:rsidRPr="000158C0" w:rsidRDefault="00FC7B3C" w:rsidP="00D94221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0158C0">
        <w:rPr>
          <w:color w:val="000000"/>
          <w:sz w:val="26"/>
          <w:szCs w:val="26"/>
        </w:rPr>
        <w:t>Численность отдельных категорий населения, которым предоставляются те или иные льготы и социальные выплаты, предусматриваемые в бюджете области, составили в 201</w:t>
      </w:r>
      <w:r w:rsidR="000A016E" w:rsidRPr="000158C0">
        <w:rPr>
          <w:color w:val="000000"/>
          <w:sz w:val="26"/>
          <w:szCs w:val="26"/>
        </w:rPr>
        <w:t>4</w:t>
      </w:r>
      <w:r w:rsidRPr="000158C0">
        <w:rPr>
          <w:color w:val="000000"/>
          <w:sz w:val="26"/>
          <w:szCs w:val="26"/>
        </w:rPr>
        <w:t xml:space="preserve"> году 4</w:t>
      </w:r>
      <w:r w:rsidR="000A016E" w:rsidRPr="000158C0">
        <w:rPr>
          <w:color w:val="000000"/>
          <w:sz w:val="26"/>
          <w:szCs w:val="26"/>
        </w:rPr>
        <w:t>28,2</w:t>
      </w:r>
      <w:r w:rsidR="000158C0" w:rsidRPr="000158C0">
        <w:rPr>
          <w:color w:val="000000"/>
          <w:sz w:val="26"/>
          <w:szCs w:val="26"/>
        </w:rPr>
        <w:t xml:space="preserve"> </w:t>
      </w:r>
      <w:r w:rsidR="000A016E" w:rsidRPr="000158C0">
        <w:rPr>
          <w:color w:val="000000"/>
          <w:sz w:val="26"/>
          <w:szCs w:val="26"/>
        </w:rPr>
        <w:t>тыс. человек</w:t>
      </w:r>
      <w:r w:rsidRPr="000158C0">
        <w:rPr>
          <w:color w:val="000000"/>
          <w:sz w:val="26"/>
          <w:szCs w:val="26"/>
        </w:rPr>
        <w:t xml:space="preserve">. Численность данных категорий </w:t>
      </w:r>
      <w:r w:rsidRPr="000158C0">
        <w:rPr>
          <w:b/>
          <w:i/>
          <w:color w:val="000000"/>
          <w:sz w:val="26"/>
          <w:szCs w:val="26"/>
        </w:rPr>
        <w:t>в</w:t>
      </w:r>
      <w:r w:rsidR="000158C0" w:rsidRPr="000158C0">
        <w:rPr>
          <w:b/>
          <w:i/>
          <w:color w:val="000000"/>
          <w:sz w:val="26"/>
          <w:szCs w:val="26"/>
        </w:rPr>
        <w:t> </w:t>
      </w:r>
      <w:r w:rsidRPr="000158C0">
        <w:rPr>
          <w:b/>
          <w:i/>
          <w:color w:val="000000"/>
          <w:sz w:val="26"/>
          <w:szCs w:val="26"/>
        </w:rPr>
        <w:t>Архангельской области без учета Ненецкого автономного округа</w:t>
      </w:r>
      <w:r w:rsidRPr="000158C0">
        <w:rPr>
          <w:color w:val="000000"/>
          <w:sz w:val="26"/>
          <w:szCs w:val="26"/>
        </w:rPr>
        <w:t xml:space="preserve"> по прогнозу министерства труда, занятости и социального развития Архангельской области </w:t>
      </w:r>
      <w:r w:rsidR="001F2CA8">
        <w:rPr>
          <w:color w:val="000000"/>
          <w:sz w:val="26"/>
          <w:szCs w:val="26"/>
        </w:rPr>
        <w:br/>
      </w:r>
      <w:r w:rsidRPr="000158C0">
        <w:rPr>
          <w:color w:val="000000"/>
          <w:sz w:val="26"/>
          <w:szCs w:val="26"/>
        </w:rPr>
        <w:t>в 201</w:t>
      </w:r>
      <w:r w:rsidR="000A016E" w:rsidRPr="000158C0">
        <w:rPr>
          <w:color w:val="000000"/>
          <w:sz w:val="26"/>
          <w:szCs w:val="26"/>
        </w:rPr>
        <w:t xml:space="preserve">6 и в </w:t>
      </w:r>
      <w:r w:rsidRPr="000158C0">
        <w:rPr>
          <w:color w:val="000000"/>
          <w:sz w:val="26"/>
          <w:szCs w:val="26"/>
        </w:rPr>
        <w:t>201</w:t>
      </w:r>
      <w:r w:rsidR="000A016E" w:rsidRPr="000158C0">
        <w:rPr>
          <w:color w:val="000000"/>
          <w:sz w:val="26"/>
          <w:szCs w:val="26"/>
        </w:rPr>
        <w:t>8</w:t>
      </w:r>
      <w:r w:rsidRPr="000158C0">
        <w:rPr>
          <w:color w:val="000000"/>
          <w:sz w:val="26"/>
          <w:szCs w:val="26"/>
        </w:rPr>
        <w:t xml:space="preserve"> год</w:t>
      </w:r>
      <w:r w:rsidR="000A016E" w:rsidRPr="000158C0">
        <w:rPr>
          <w:color w:val="000000"/>
          <w:sz w:val="26"/>
          <w:szCs w:val="26"/>
        </w:rPr>
        <w:t>у</w:t>
      </w:r>
      <w:r w:rsidRPr="000158C0">
        <w:rPr>
          <w:color w:val="000000"/>
          <w:sz w:val="26"/>
          <w:szCs w:val="26"/>
        </w:rPr>
        <w:t xml:space="preserve"> будет составлять </w:t>
      </w:r>
      <w:r w:rsidR="000A016E" w:rsidRPr="000158C0">
        <w:rPr>
          <w:color w:val="000000"/>
          <w:sz w:val="26"/>
          <w:szCs w:val="26"/>
        </w:rPr>
        <w:t>–</w:t>
      </w:r>
      <w:r w:rsidRPr="000158C0">
        <w:rPr>
          <w:color w:val="000000"/>
          <w:sz w:val="26"/>
          <w:szCs w:val="26"/>
        </w:rPr>
        <w:t xml:space="preserve"> </w:t>
      </w:r>
      <w:r w:rsidR="000A016E" w:rsidRPr="000158C0">
        <w:rPr>
          <w:color w:val="000000"/>
          <w:sz w:val="26"/>
          <w:szCs w:val="26"/>
        </w:rPr>
        <w:t>409,5 и 401,5</w:t>
      </w:r>
      <w:r w:rsidRPr="000158C0">
        <w:rPr>
          <w:color w:val="000000"/>
          <w:sz w:val="26"/>
          <w:szCs w:val="26"/>
        </w:rPr>
        <w:t xml:space="preserve"> тыс. человек</w:t>
      </w:r>
      <w:r w:rsidR="000A016E" w:rsidRPr="000158C0">
        <w:rPr>
          <w:color w:val="000000"/>
          <w:sz w:val="26"/>
          <w:szCs w:val="26"/>
        </w:rPr>
        <w:t xml:space="preserve"> соответственно</w:t>
      </w:r>
      <w:r w:rsidRPr="000158C0">
        <w:rPr>
          <w:color w:val="000000"/>
          <w:sz w:val="26"/>
          <w:szCs w:val="26"/>
        </w:rPr>
        <w:t>.</w:t>
      </w:r>
    </w:p>
    <w:p w:rsidR="00FC7B3C" w:rsidRPr="000158C0" w:rsidRDefault="00FC7B3C" w:rsidP="009D6B20">
      <w:pPr>
        <w:pStyle w:val="2"/>
        <w:spacing w:before="120" w:after="0" w:line="288" w:lineRule="auto"/>
        <w:jc w:val="both"/>
        <w:rPr>
          <w:sz w:val="26"/>
        </w:rPr>
      </w:pPr>
      <w:r w:rsidRPr="000158C0">
        <w:rPr>
          <w:sz w:val="26"/>
        </w:rPr>
        <w:t>Образование.</w:t>
      </w:r>
    </w:p>
    <w:p w:rsidR="000551AB" w:rsidRPr="000158C0" w:rsidRDefault="000158C0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158C0">
        <w:rPr>
          <w:rFonts w:eastAsia="Calibri"/>
          <w:sz w:val="26"/>
          <w:szCs w:val="26"/>
          <w:lang w:eastAsia="en-US"/>
        </w:rPr>
        <w:t>Показатели</w:t>
      </w:r>
      <w:r w:rsidR="000551AB" w:rsidRPr="000158C0">
        <w:rPr>
          <w:rFonts w:eastAsia="Calibri"/>
          <w:sz w:val="26"/>
          <w:szCs w:val="26"/>
          <w:lang w:eastAsia="en-US"/>
        </w:rPr>
        <w:t xml:space="preserve"> численности учащихся в школах</w:t>
      </w:r>
      <w:r w:rsidR="00D6373B" w:rsidRPr="000158C0">
        <w:rPr>
          <w:rFonts w:eastAsia="Calibri"/>
          <w:sz w:val="26"/>
          <w:szCs w:val="26"/>
          <w:lang w:eastAsia="en-US"/>
        </w:rPr>
        <w:t xml:space="preserve"> и </w:t>
      </w:r>
      <w:r w:rsidR="000551AB" w:rsidRPr="000158C0">
        <w:rPr>
          <w:rFonts w:eastAsia="Calibri"/>
          <w:sz w:val="26"/>
          <w:szCs w:val="26"/>
          <w:lang w:eastAsia="en-US"/>
        </w:rPr>
        <w:t xml:space="preserve">воспитанников в дошкольных образовательных учреждениях </w:t>
      </w:r>
      <w:proofErr w:type="gramStart"/>
      <w:r w:rsidR="000551AB" w:rsidRPr="000158C0">
        <w:rPr>
          <w:rFonts w:eastAsia="Calibri"/>
          <w:sz w:val="26"/>
          <w:szCs w:val="26"/>
          <w:lang w:eastAsia="en-US"/>
        </w:rPr>
        <w:t>обусловлен</w:t>
      </w:r>
      <w:proofErr w:type="gramEnd"/>
      <w:r w:rsidR="000551AB" w:rsidRPr="000158C0">
        <w:rPr>
          <w:rFonts w:eastAsia="Calibri"/>
          <w:sz w:val="26"/>
          <w:szCs w:val="26"/>
          <w:lang w:eastAsia="en-US"/>
        </w:rPr>
        <w:t xml:space="preserve"> демографической ситуацией</w:t>
      </w:r>
      <w:r w:rsidR="009C2B9D" w:rsidRPr="000158C0">
        <w:rPr>
          <w:rFonts w:eastAsia="Calibri"/>
          <w:sz w:val="26"/>
          <w:szCs w:val="26"/>
          <w:lang w:eastAsia="en-US"/>
        </w:rPr>
        <w:t xml:space="preserve"> </w:t>
      </w:r>
      <w:r w:rsidRPr="000158C0">
        <w:rPr>
          <w:rFonts w:eastAsia="Calibri"/>
          <w:sz w:val="26"/>
          <w:szCs w:val="26"/>
          <w:lang w:eastAsia="en-US"/>
        </w:rPr>
        <w:br/>
      </w:r>
      <w:r w:rsidR="000551AB" w:rsidRPr="000158C0">
        <w:rPr>
          <w:rFonts w:eastAsia="Calibri"/>
          <w:sz w:val="26"/>
          <w:szCs w:val="26"/>
          <w:lang w:eastAsia="en-US"/>
        </w:rPr>
        <w:t xml:space="preserve">в Архангельской области. </w:t>
      </w:r>
    </w:p>
    <w:p w:rsidR="000551AB" w:rsidRPr="000158C0" w:rsidRDefault="000551AB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158C0">
        <w:rPr>
          <w:rFonts w:eastAsia="Calibri"/>
          <w:sz w:val="26"/>
          <w:szCs w:val="26"/>
          <w:lang w:eastAsia="en-US"/>
        </w:rPr>
        <w:t>В 2014 году дошкольным образованием в области было охвачено 64,8 тыс. детей.</w:t>
      </w:r>
      <w:r w:rsidR="009C2B9D" w:rsidRPr="000158C0">
        <w:rPr>
          <w:rFonts w:eastAsia="Calibri"/>
          <w:sz w:val="26"/>
          <w:szCs w:val="26"/>
          <w:lang w:eastAsia="en-US"/>
        </w:rPr>
        <w:t xml:space="preserve"> </w:t>
      </w:r>
      <w:r w:rsidRPr="000158C0">
        <w:rPr>
          <w:rFonts w:eastAsia="Calibri"/>
          <w:sz w:val="26"/>
          <w:szCs w:val="26"/>
          <w:lang w:eastAsia="en-US"/>
        </w:rPr>
        <w:t xml:space="preserve">В 2015-2016 годах число детей, посещающих детские дошкольные учреждения, составит 65,8 тыс. человек, в 2017 году 66,3 тыс. человек, в 2018 году – 66,4 тыс. человек. </w:t>
      </w:r>
    </w:p>
    <w:p w:rsidR="000551AB" w:rsidRPr="000158C0" w:rsidRDefault="000551AB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158C0">
        <w:rPr>
          <w:rFonts w:eastAsia="Calibri"/>
          <w:sz w:val="26"/>
          <w:szCs w:val="26"/>
          <w:lang w:eastAsia="en-US"/>
        </w:rPr>
        <w:t xml:space="preserve">Средняя обеспеченность детскими дошкольными учреждениями в 2014 году составила 788,7 мест на 1000 детей дошкольного возраста. В 2018 годах обеспеченность дошкольными образовательными учреждениями прогнозируется </w:t>
      </w:r>
      <w:r w:rsidR="001F2CA8">
        <w:rPr>
          <w:rFonts w:eastAsia="Calibri"/>
          <w:sz w:val="26"/>
          <w:szCs w:val="26"/>
          <w:lang w:eastAsia="en-US"/>
        </w:rPr>
        <w:br/>
      </w:r>
      <w:r w:rsidRPr="000158C0">
        <w:rPr>
          <w:rFonts w:eastAsia="Calibri"/>
          <w:sz w:val="26"/>
          <w:szCs w:val="26"/>
          <w:lang w:eastAsia="en-US"/>
        </w:rPr>
        <w:t>на уровне 789 места</w:t>
      </w:r>
      <w:r w:rsidR="009C2B9D" w:rsidRPr="000158C0">
        <w:rPr>
          <w:rFonts w:eastAsia="Calibri"/>
          <w:sz w:val="26"/>
          <w:szCs w:val="26"/>
          <w:lang w:eastAsia="en-US"/>
        </w:rPr>
        <w:t xml:space="preserve"> </w:t>
      </w:r>
      <w:r w:rsidRPr="000158C0">
        <w:rPr>
          <w:rFonts w:eastAsia="Calibri"/>
          <w:sz w:val="26"/>
          <w:szCs w:val="26"/>
          <w:lang w:eastAsia="en-US"/>
        </w:rPr>
        <w:t>на 1000 детей дошкольного возраста.</w:t>
      </w:r>
    </w:p>
    <w:p w:rsidR="000551AB" w:rsidRPr="000158C0" w:rsidRDefault="000551AB" w:rsidP="00D94221">
      <w:pPr>
        <w:spacing w:line="28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158C0">
        <w:rPr>
          <w:rFonts w:eastAsia="Calibri"/>
          <w:sz w:val="26"/>
          <w:szCs w:val="26"/>
          <w:lang w:eastAsia="en-US"/>
        </w:rPr>
        <w:t>В прогнозируем</w:t>
      </w:r>
      <w:r w:rsidR="00D6373B" w:rsidRPr="000158C0">
        <w:rPr>
          <w:rFonts w:eastAsia="Calibri"/>
          <w:sz w:val="26"/>
          <w:szCs w:val="26"/>
          <w:lang w:eastAsia="en-US"/>
        </w:rPr>
        <w:t>ом</w:t>
      </w:r>
      <w:r w:rsidRPr="000158C0">
        <w:rPr>
          <w:rFonts w:eastAsia="Calibri"/>
          <w:sz w:val="26"/>
          <w:szCs w:val="26"/>
          <w:lang w:eastAsia="en-US"/>
        </w:rPr>
        <w:t xml:space="preserve"> период</w:t>
      </w:r>
      <w:r w:rsidR="00D6373B" w:rsidRPr="000158C0">
        <w:rPr>
          <w:rFonts w:eastAsia="Calibri"/>
          <w:sz w:val="26"/>
          <w:szCs w:val="26"/>
          <w:lang w:eastAsia="en-US"/>
        </w:rPr>
        <w:t>е</w:t>
      </w:r>
      <w:r w:rsidRPr="000158C0">
        <w:rPr>
          <w:rFonts w:eastAsia="Calibri"/>
          <w:sz w:val="26"/>
          <w:szCs w:val="26"/>
          <w:lang w:eastAsia="en-US"/>
        </w:rPr>
        <w:t xml:space="preserve"> предполагается рост контингента обучающихся</w:t>
      </w:r>
      <w:r w:rsidRPr="000158C0">
        <w:rPr>
          <w:rFonts w:eastAsia="Calibri"/>
          <w:sz w:val="26"/>
          <w:szCs w:val="26"/>
          <w:lang w:eastAsia="en-US"/>
        </w:rPr>
        <w:br/>
        <w:t xml:space="preserve">в общеобразовательных учреждениях за счет увеличения численности учащихся начальной школы. </w:t>
      </w:r>
      <w:proofErr w:type="gramStart"/>
      <w:r w:rsidRPr="000158C0">
        <w:rPr>
          <w:rFonts w:eastAsia="Calibri"/>
          <w:sz w:val="26"/>
          <w:szCs w:val="26"/>
          <w:lang w:eastAsia="en-US"/>
        </w:rPr>
        <w:t>В 2018 году прогнозируется увеличение контингента обучающихся</w:t>
      </w:r>
      <w:r w:rsidR="009C2B9D" w:rsidRPr="000158C0">
        <w:rPr>
          <w:rFonts w:eastAsia="Calibri"/>
          <w:sz w:val="26"/>
          <w:szCs w:val="26"/>
          <w:lang w:eastAsia="en-US"/>
        </w:rPr>
        <w:t xml:space="preserve"> </w:t>
      </w:r>
      <w:r w:rsidRPr="000158C0">
        <w:rPr>
          <w:rFonts w:eastAsia="Calibri"/>
          <w:sz w:val="26"/>
          <w:szCs w:val="26"/>
          <w:lang w:eastAsia="en-US"/>
        </w:rPr>
        <w:t xml:space="preserve">в общеобразовательных учреждения к уровню 2014 года на 5,1% или на 6,0 тыс. человек. </w:t>
      </w:r>
      <w:proofErr w:type="gramEnd"/>
    </w:p>
    <w:p w:rsidR="000551AB" w:rsidRPr="000158C0" w:rsidRDefault="000551AB" w:rsidP="00D94221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0158C0">
        <w:rPr>
          <w:sz w:val="26"/>
          <w:szCs w:val="26"/>
        </w:rPr>
        <w:t>Прогноз по числу образовательных организаций указан с учетом реорганизации учреждений в соответствии с Соглашением между Министерством образования и науки Российской Федерации и Правительством Архангельской области об обеспечении</w:t>
      </w:r>
      <w:r w:rsidR="009C2B9D" w:rsidRPr="000158C0">
        <w:rPr>
          <w:sz w:val="26"/>
          <w:szCs w:val="26"/>
        </w:rPr>
        <w:t xml:space="preserve"> </w:t>
      </w:r>
      <w:r w:rsidRPr="000158C0">
        <w:rPr>
          <w:sz w:val="26"/>
          <w:szCs w:val="26"/>
        </w:rPr>
        <w:t>в 2014–2018 годах достижения целевых показателей оптимизации сети государственных (муниципальных) образовательных организаций, определенных региональным планом мероприятий («дорожной картой») «Изменения в отраслях социальной сферы, направленные на повышение эффективности образования и науки» от 20 мая</w:t>
      </w:r>
      <w:proofErr w:type="gramEnd"/>
      <w:r w:rsidRPr="000158C0">
        <w:rPr>
          <w:sz w:val="26"/>
          <w:szCs w:val="26"/>
        </w:rPr>
        <w:t xml:space="preserve"> 2014 года</w:t>
      </w:r>
      <w:r w:rsidR="009C2B9D" w:rsidRPr="000158C0">
        <w:rPr>
          <w:sz w:val="26"/>
          <w:szCs w:val="26"/>
        </w:rPr>
        <w:t xml:space="preserve"> </w:t>
      </w:r>
      <w:r w:rsidRPr="000158C0">
        <w:rPr>
          <w:sz w:val="26"/>
          <w:szCs w:val="26"/>
        </w:rPr>
        <w:t>№ СОГ-54/02.</w:t>
      </w:r>
    </w:p>
    <w:p w:rsidR="000551AB" w:rsidRPr="000158C0" w:rsidRDefault="000551AB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0158C0">
        <w:rPr>
          <w:sz w:val="26"/>
          <w:szCs w:val="26"/>
        </w:rPr>
        <w:t>В 2015 году планируется реорганизация</w:t>
      </w:r>
      <w:r w:rsidR="00D6373B" w:rsidRPr="000158C0">
        <w:rPr>
          <w:sz w:val="26"/>
          <w:szCs w:val="26"/>
        </w:rPr>
        <w:t xml:space="preserve"> десяти </w:t>
      </w:r>
      <w:r w:rsidRPr="000158C0">
        <w:rPr>
          <w:sz w:val="26"/>
          <w:szCs w:val="26"/>
        </w:rPr>
        <w:t>дошкольны</w:t>
      </w:r>
      <w:r w:rsidR="00D6373B" w:rsidRPr="000158C0">
        <w:rPr>
          <w:sz w:val="26"/>
          <w:szCs w:val="26"/>
        </w:rPr>
        <w:t>х</w:t>
      </w:r>
      <w:r w:rsidRPr="000158C0">
        <w:rPr>
          <w:sz w:val="26"/>
          <w:szCs w:val="26"/>
        </w:rPr>
        <w:t xml:space="preserve"> образовательны</w:t>
      </w:r>
      <w:r w:rsidR="00D6373B" w:rsidRPr="000158C0">
        <w:rPr>
          <w:sz w:val="26"/>
          <w:szCs w:val="26"/>
        </w:rPr>
        <w:t>х</w:t>
      </w:r>
      <w:r w:rsidRPr="000158C0">
        <w:rPr>
          <w:sz w:val="26"/>
          <w:szCs w:val="26"/>
        </w:rPr>
        <w:t xml:space="preserve"> организаци</w:t>
      </w:r>
      <w:r w:rsidR="00D6373B" w:rsidRPr="000158C0">
        <w:rPr>
          <w:sz w:val="26"/>
          <w:szCs w:val="26"/>
        </w:rPr>
        <w:t>й</w:t>
      </w:r>
      <w:r w:rsidR="000158C0" w:rsidRPr="000158C0">
        <w:rPr>
          <w:sz w:val="26"/>
          <w:szCs w:val="26"/>
        </w:rPr>
        <w:t xml:space="preserve"> </w:t>
      </w:r>
      <w:r w:rsidRPr="000158C0">
        <w:rPr>
          <w:sz w:val="26"/>
          <w:szCs w:val="26"/>
        </w:rPr>
        <w:t>путем присоединения их</w:t>
      </w:r>
      <w:r w:rsidR="00D6373B" w:rsidRPr="000158C0">
        <w:rPr>
          <w:sz w:val="26"/>
          <w:szCs w:val="26"/>
        </w:rPr>
        <w:t xml:space="preserve"> </w:t>
      </w:r>
      <w:r w:rsidRPr="000158C0">
        <w:rPr>
          <w:sz w:val="26"/>
          <w:szCs w:val="26"/>
        </w:rPr>
        <w:t>к образовательным организациям</w:t>
      </w:r>
      <w:r w:rsidR="000158C0" w:rsidRPr="000158C0">
        <w:rPr>
          <w:sz w:val="26"/>
          <w:szCs w:val="26"/>
        </w:rPr>
        <w:t xml:space="preserve"> </w:t>
      </w:r>
      <w:r w:rsidR="00FD103C" w:rsidRPr="000158C0">
        <w:rPr>
          <w:sz w:val="26"/>
          <w:szCs w:val="26"/>
        </w:rPr>
        <w:t>(</w:t>
      </w:r>
      <w:r w:rsidRPr="000158C0">
        <w:rPr>
          <w:sz w:val="26"/>
          <w:szCs w:val="26"/>
        </w:rPr>
        <w:t>вновь созданных – 5</w:t>
      </w:r>
      <w:r w:rsidR="00FD103C" w:rsidRPr="000158C0">
        <w:rPr>
          <w:sz w:val="26"/>
          <w:szCs w:val="26"/>
        </w:rPr>
        <w:t>)</w:t>
      </w:r>
      <w:r w:rsidRPr="000158C0">
        <w:rPr>
          <w:sz w:val="26"/>
          <w:szCs w:val="26"/>
        </w:rPr>
        <w:t>;</w:t>
      </w:r>
      <w:r w:rsidR="00D6373B" w:rsidRPr="000158C0">
        <w:rPr>
          <w:sz w:val="26"/>
          <w:szCs w:val="26"/>
        </w:rPr>
        <w:t xml:space="preserve"> трех </w:t>
      </w:r>
      <w:r w:rsidRPr="000158C0">
        <w:rPr>
          <w:sz w:val="26"/>
          <w:szCs w:val="26"/>
        </w:rPr>
        <w:t>общеобразовательны</w:t>
      </w:r>
      <w:r w:rsidR="00D6373B" w:rsidRPr="000158C0">
        <w:rPr>
          <w:sz w:val="26"/>
          <w:szCs w:val="26"/>
        </w:rPr>
        <w:t>х</w:t>
      </w:r>
      <w:r w:rsidRPr="000158C0">
        <w:rPr>
          <w:sz w:val="26"/>
          <w:szCs w:val="26"/>
        </w:rPr>
        <w:t xml:space="preserve"> организаци</w:t>
      </w:r>
      <w:r w:rsidR="00D6373B" w:rsidRPr="000158C0">
        <w:rPr>
          <w:sz w:val="26"/>
          <w:szCs w:val="26"/>
        </w:rPr>
        <w:t>й</w:t>
      </w:r>
      <w:r w:rsidR="000158C0" w:rsidRPr="000158C0">
        <w:t xml:space="preserve"> </w:t>
      </w:r>
      <w:r w:rsidRPr="000158C0">
        <w:rPr>
          <w:sz w:val="26"/>
          <w:szCs w:val="26"/>
        </w:rPr>
        <w:t xml:space="preserve">путем включения </w:t>
      </w:r>
      <w:r w:rsidR="001F2CA8">
        <w:rPr>
          <w:sz w:val="26"/>
          <w:szCs w:val="26"/>
        </w:rPr>
        <w:br/>
      </w:r>
      <w:r w:rsidRPr="000158C0">
        <w:rPr>
          <w:sz w:val="26"/>
          <w:szCs w:val="26"/>
        </w:rPr>
        <w:lastRenderedPageBreak/>
        <w:t>их в структуру других общеобразовательных организаций;</w:t>
      </w:r>
      <w:r w:rsidR="00D6373B" w:rsidRPr="000158C0">
        <w:rPr>
          <w:sz w:val="26"/>
          <w:szCs w:val="26"/>
        </w:rPr>
        <w:t xml:space="preserve"> двух о</w:t>
      </w:r>
      <w:r w:rsidRPr="000158C0">
        <w:rPr>
          <w:sz w:val="26"/>
          <w:szCs w:val="26"/>
        </w:rPr>
        <w:t>рганизаци</w:t>
      </w:r>
      <w:r w:rsidR="00D6373B" w:rsidRPr="000158C0">
        <w:rPr>
          <w:sz w:val="26"/>
          <w:szCs w:val="26"/>
        </w:rPr>
        <w:t>й</w:t>
      </w:r>
      <w:r w:rsidRPr="000158C0">
        <w:rPr>
          <w:sz w:val="26"/>
          <w:szCs w:val="26"/>
        </w:rPr>
        <w:t xml:space="preserve"> дополнительного образования</w:t>
      </w:r>
      <w:r w:rsidR="000158C0" w:rsidRPr="000158C0">
        <w:rPr>
          <w:sz w:val="26"/>
          <w:szCs w:val="26"/>
        </w:rPr>
        <w:t xml:space="preserve"> </w:t>
      </w:r>
      <w:r w:rsidRPr="000158C0">
        <w:rPr>
          <w:sz w:val="26"/>
          <w:szCs w:val="26"/>
        </w:rPr>
        <w:t>путем присоединения их</w:t>
      </w:r>
      <w:r w:rsidR="00D6373B" w:rsidRPr="000158C0">
        <w:rPr>
          <w:sz w:val="26"/>
          <w:szCs w:val="26"/>
        </w:rPr>
        <w:t xml:space="preserve"> </w:t>
      </w:r>
      <w:r w:rsidR="000158C0" w:rsidRPr="000158C0">
        <w:rPr>
          <w:sz w:val="26"/>
          <w:szCs w:val="26"/>
        </w:rPr>
        <w:br/>
      </w:r>
      <w:r w:rsidRPr="000158C0">
        <w:rPr>
          <w:sz w:val="26"/>
          <w:szCs w:val="26"/>
        </w:rPr>
        <w:t>к общеобразовательным организациям;</w:t>
      </w:r>
      <w:r w:rsidR="009E3E0D" w:rsidRPr="000158C0">
        <w:rPr>
          <w:sz w:val="26"/>
          <w:szCs w:val="26"/>
        </w:rPr>
        <w:t xml:space="preserve"> </w:t>
      </w:r>
      <w:r w:rsidRPr="000158C0">
        <w:rPr>
          <w:sz w:val="26"/>
          <w:szCs w:val="26"/>
        </w:rPr>
        <w:t>присоединени</w:t>
      </w:r>
      <w:r w:rsidR="009E3E0D" w:rsidRPr="000158C0">
        <w:rPr>
          <w:sz w:val="26"/>
          <w:szCs w:val="26"/>
        </w:rPr>
        <w:t xml:space="preserve">е </w:t>
      </w:r>
      <w:r w:rsidRPr="000158C0">
        <w:rPr>
          <w:sz w:val="26"/>
          <w:szCs w:val="26"/>
        </w:rPr>
        <w:t xml:space="preserve">к </w:t>
      </w:r>
      <w:proofErr w:type="spellStart"/>
      <w:r w:rsidRPr="000158C0">
        <w:rPr>
          <w:sz w:val="26"/>
          <w:szCs w:val="26"/>
        </w:rPr>
        <w:t>Красноборскому</w:t>
      </w:r>
      <w:proofErr w:type="spellEnd"/>
      <w:r w:rsidRPr="000158C0">
        <w:rPr>
          <w:sz w:val="26"/>
          <w:szCs w:val="26"/>
        </w:rPr>
        <w:t xml:space="preserve"> лесотехническому техникуму </w:t>
      </w:r>
      <w:proofErr w:type="spellStart"/>
      <w:r w:rsidRPr="000158C0">
        <w:rPr>
          <w:sz w:val="26"/>
          <w:szCs w:val="26"/>
        </w:rPr>
        <w:t>Верхнетоемского</w:t>
      </w:r>
      <w:proofErr w:type="spellEnd"/>
      <w:r w:rsidRPr="000158C0">
        <w:rPr>
          <w:sz w:val="26"/>
          <w:szCs w:val="26"/>
        </w:rPr>
        <w:t xml:space="preserve"> лесного техникума</w:t>
      </w:r>
      <w:r w:rsidR="00FD103C" w:rsidRPr="000158C0">
        <w:rPr>
          <w:sz w:val="26"/>
          <w:szCs w:val="26"/>
        </w:rPr>
        <w:t>.</w:t>
      </w:r>
      <w:r w:rsidRPr="000158C0">
        <w:rPr>
          <w:sz w:val="26"/>
          <w:szCs w:val="26"/>
        </w:rPr>
        <w:t xml:space="preserve"> </w:t>
      </w:r>
    </w:p>
    <w:p w:rsidR="000551AB" w:rsidRPr="000158C0" w:rsidRDefault="000551AB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0158C0">
        <w:rPr>
          <w:sz w:val="26"/>
          <w:szCs w:val="26"/>
        </w:rPr>
        <w:t>В 2016 году планируется реорганизация</w:t>
      </w:r>
      <w:r w:rsidR="00FD103C" w:rsidRPr="000158C0">
        <w:rPr>
          <w:sz w:val="26"/>
          <w:szCs w:val="26"/>
        </w:rPr>
        <w:t xml:space="preserve"> пяти </w:t>
      </w:r>
      <w:r w:rsidRPr="000158C0">
        <w:rPr>
          <w:sz w:val="26"/>
          <w:szCs w:val="26"/>
        </w:rPr>
        <w:t>дошкольны</w:t>
      </w:r>
      <w:r w:rsidR="00FD103C" w:rsidRPr="000158C0">
        <w:rPr>
          <w:sz w:val="26"/>
          <w:szCs w:val="26"/>
        </w:rPr>
        <w:t>х</w:t>
      </w:r>
      <w:r w:rsidRPr="000158C0">
        <w:rPr>
          <w:sz w:val="26"/>
          <w:szCs w:val="26"/>
        </w:rPr>
        <w:t xml:space="preserve"> образовательны</w:t>
      </w:r>
      <w:r w:rsidR="00FD103C" w:rsidRPr="000158C0">
        <w:rPr>
          <w:sz w:val="26"/>
          <w:szCs w:val="26"/>
        </w:rPr>
        <w:t>х организации</w:t>
      </w:r>
      <w:r w:rsidR="000158C0" w:rsidRPr="000158C0">
        <w:rPr>
          <w:sz w:val="26"/>
          <w:szCs w:val="26"/>
        </w:rPr>
        <w:t xml:space="preserve"> </w:t>
      </w:r>
      <w:r w:rsidRPr="000158C0">
        <w:rPr>
          <w:sz w:val="26"/>
          <w:szCs w:val="26"/>
        </w:rPr>
        <w:t>путем присоединения их</w:t>
      </w:r>
      <w:r w:rsidR="00FD103C" w:rsidRPr="000158C0">
        <w:rPr>
          <w:sz w:val="26"/>
          <w:szCs w:val="26"/>
        </w:rPr>
        <w:t xml:space="preserve"> </w:t>
      </w:r>
      <w:r w:rsidRPr="000158C0">
        <w:rPr>
          <w:sz w:val="26"/>
          <w:szCs w:val="26"/>
        </w:rPr>
        <w:t>к образовательным организациям</w:t>
      </w:r>
      <w:r w:rsidR="00FD103C" w:rsidRPr="000158C0">
        <w:rPr>
          <w:sz w:val="26"/>
          <w:szCs w:val="26"/>
        </w:rPr>
        <w:t xml:space="preserve"> (</w:t>
      </w:r>
      <w:r w:rsidRPr="000158C0">
        <w:rPr>
          <w:sz w:val="26"/>
          <w:szCs w:val="26"/>
        </w:rPr>
        <w:t>вновь созданных – 2</w:t>
      </w:r>
      <w:r w:rsidR="00FD103C" w:rsidRPr="000158C0">
        <w:rPr>
          <w:sz w:val="26"/>
          <w:szCs w:val="26"/>
        </w:rPr>
        <w:t>)</w:t>
      </w:r>
      <w:r w:rsidRPr="000158C0">
        <w:rPr>
          <w:sz w:val="26"/>
          <w:szCs w:val="26"/>
        </w:rPr>
        <w:t>;</w:t>
      </w:r>
      <w:r w:rsidR="00FD103C" w:rsidRPr="000158C0">
        <w:rPr>
          <w:sz w:val="26"/>
          <w:szCs w:val="26"/>
        </w:rPr>
        <w:t xml:space="preserve"> </w:t>
      </w:r>
      <w:r w:rsidRPr="000158C0">
        <w:rPr>
          <w:sz w:val="26"/>
          <w:szCs w:val="26"/>
        </w:rPr>
        <w:t>присоединени</w:t>
      </w:r>
      <w:r w:rsidR="00FD103C" w:rsidRPr="000158C0">
        <w:rPr>
          <w:sz w:val="26"/>
          <w:szCs w:val="26"/>
        </w:rPr>
        <w:t>е</w:t>
      </w:r>
      <w:r w:rsidRPr="000158C0">
        <w:rPr>
          <w:sz w:val="26"/>
          <w:szCs w:val="26"/>
        </w:rPr>
        <w:t xml:space="preserve"> к Архангельскому педагогическому колледжу Профессионального училища № 27</w:t>
      </w:r>
      <w:r w:rsidR="00FD103C" w:rsidRPr="000158C0">
        <w:rPr>
          <w:sz w:val="26"/>
          <w:szCs w:val="26"/>
        </w:rPr>
        <w:t>.</w:t>
      </w:r>
    </w:p>
    <w:p w:rsidR="000551AB" w:rsidRPr="000158C0" w:rsidRDefault="000551AB" w:rsidP="00D94221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0158C0">
        <w:rPr>
          <w:sz w:val="26"/>
          <w:szCs w:val="26"/>
        </w:rPr>
        <w:t>В соответствии с распоряжением Правительства Архангельской области</w:t>
      </w:r>
      <w:r w:rsidR="00D6373B" w:rsidRPr="000158C0">
        <w:rPr>
          <w:sz w:val="26"/>
          <w:szCs w:val="26"/>
        </w:rPr>
        <w:br/>
      </w:r>
      <w:r w:rsidRPr="000158C0">
        <w:rPr>
          <w:sz w:val="26"/>
          <w:szCs w:val="26"/>
        </w:rPr>
        <w:t xml:space="preserve">от 17 марта 2015 года № 46-рп идет процесс реорганизации государственного бюджетного образовательного учреждения Архангельской области для детей-сирот и детей, оставшихся без попечения родителей, </w:t>
      </w:r>
      <w:proofErr w:type="spellStart"/>
      <w:r w:rsidRPr="000158C0">
        <w:rPr>
          <w:sz w:val="26"/>
          <w:szCs w:val="26"/>
        </w:rPr>
        <w:t>Рембуевский</w:t>
      </w:r>
      <w:proofErr w:type="spellEnd"/>
      <w:r w:rsidRPr="000158C0">
        <w:rPr>
          <w:sz w:val="26"/>
          <w:szCs w:val="26"/>
        </w:rPr>
        <w:t xml:space="preserve"> детский дом и государственного бюджетного образовательного учреждения Архангельской области для детей-сирот и детей, оставшихся без попечения родителей, Бобровский детский дом в форме присоединения к </w:t>
      </w:r>
      <w:proofErr w:type="spellStart"/>
      <w:r w:rsidRPr="000158C0">
        <w:rPr>
          <w:sz w:val="26"/>
          <w:szCs w:val="26"/>
        </w:rPr>
        <w:t>Рембуевскому</w:t>
      </w:r>
      <w:proofErr w:type="spellEnd"/>
      <w:r w:rsidRPr="000158C0">
        <w:rPr>
          <w:sz w:val="26"/>
          <w:szCs w:val="26"/>
        </w:rPr>
        <w:t xml:space="preserve"> детскому дому Бобровского детского</w:t>
      </w:r>
      <w:proofErr w:type="gramEnd"/>
      <w:r w:rsidRPr="000158C0">
        <w:rPr>
          <w:sz w:val="26"/>
          <w:szCs w:val="26"/>
        </w:rPr>
        <w:t xml:space="preserve"> дома.</w:t>
      </w:r>
    </w:p>
    <w:p w:rsidR="000551AB" w:rsidRPr="000158C0" w:rsidRDefault="000551AB" w:rsidP="00D94221">
      <w:pPr>
        <w:spacing w:line="288" w:lineRule="auto"/>
        <w:ind w:firstLine="709"/>
        <w:jc w:val="both"/>
        <w:rPr>
          <w:sz w:val="26"/>
          <w:szCs w:val="26"/>
        </w:rPr>
      </w:pPr>
      <w:r w:rsidRPr="000158C0">
        <w:rPr>
          <w:sz w:val="26"/>
          <w:szCs w:val="26"/>
        </w:rPr>
        <w:t xml:space="preserve">На 2016 год запланирована реорганизация государственного бюджетного образовательного учреждения Архангельской области для детей-сирот и детей, оставшихся без попечения родителей, </w:t>
      </w:r>
      <w:proofErr w:type="spellStart"/>
      <w:r w:rsidRPr="000158C0">
        <w:rPr>
          <w:sz w:val="26"/>
          <w:szCs w:val="26"/>
        </w:rPr>
        <w:t>Тимошинский</w:t>
      </w:r>
      <w:proofErr w:type="spellEnd"/>
      <w:r w:rsidRPr="000158C0">
        <w:rPr>
          <w:sz w:val="26"/>
          <w:szCs w:val="26"/>
        </w:rPr>
        <w:t xml:space="preserve"> детский дом и государственного бюджетного образовательного учреждения Архангельской области для детей-сирот и детей, оставшихся без попечения родителей, </w:t>
      </w:r>
      <w:proofErr w:type="spellStart"/>
      <w:r w:rsidRPr="000158C0">
        <w:rPr>
          <w:sz w:val="26"/>
          <w:szCs w:val="26"/>
        </w:rPr>
        <w:t>Котласский</w:t>
      </w:r>
      <w:proofErr w:type="spellEnd"/>
      <w:r w:rsidRPr="000158C0">
        <w:rPr>
          <w:sz w:val="26"/>
          <w:szCs w:val="26"/>
        </w:rPr>
        <w:t xml:space="preserve"> детский дом в форме присоединения к </w:t>
      </w:r>
      <w:proofErr w:type="spellStart"/>
      <w:r w:rsidRPr="000158C0">
        <w:rPr>
          <w:sz w:val="26"/>
          <w:szCs w:val="26"/>
        </w:rPr>
        <w:t>Котласскому</w:t>
      </w:r>
      <w:proofErr w:type="spellEnd"/>
      <w:r w:rsidRPr="000158C0">
        <w:rPr>
          <w:sz w:val="26"/>
          <w:szCs w:val="26"/>
        </w:rPr>
        <w:t xml:space="preserve"> детскому дому </w:t>
      </w:r>
      <w:proofErr w:type="spellStart"/>
      <w:r w:rsidRPr="000158C0">
        <w:rPr>
          <w:sz w:val="26"/>
          <w:szCs w:val="26"/>
        </w:rPr>
        <w:t>Тимошинского</w:t>
      </w:r>
      <w:proofErr w:type="spellEnd"/>
      <w:r w:rsidRPr="000158C0">
        <w:rPr>
          <w:sz w:val="26"/>
          <w:szCs w:val="26"/>
        </w:rPr>
        <w:t xml:space="preserve"> детского дома.</w:t>
      </w:r>
    </w:p>
    <w:p w:rsidR="003F6AC4" w:rsidRPr="009D6B20" w:rsidRDefault="003F6AC4" w:rsidP="009D6B20">
      <w:pPr>
        <w:pStyle w:val="2"/>
        <w:spacing w:before="120" w:after="0" w:line="288" w:lineRule="auto"/>
        <w:jc w:val="both"/>
        <w:rPr>
          <w:sz w:val="26"/>
        </w:rPr>
      </w:pPr>
      <w:r w:rsidRPr="009D6B20">
        <w:rPr>
          <w:sz w:val="26"/>
        </w:rPr>
        <w:t>Среднегодовая полная учётная стоимость основных фондов коммерческих организац</w:t>
      </w:r>
      <w:r w:rsidR="009D6B20" w:rsidRPr="009D6B20">
        <w:rPr>
          <w:sz w:val="26"/>
        </w:rPr>
        <w:t>ий.</w:t>
      </w:r>
    </w:p>
    <w:p w:rsidR="003F6AC4" w:rsidRPr="000158C0" w:rsidRDefault="003F6AC4" w:rsidP="003F6AC4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0158C0">
        <w:rPr>
          <w:sz w:val="26"/>
          <w:szCs w:val="26"/>
        </w:rPr>
        <w:t>Среднегодовая</w:t>
      </w:r>
      <w:proofErr w:type="gramEnd"/>
      <w:r w:rsidRPr="000158C0">
        <w:rPr>
          <w:sz w:val="26"/>
          <w:szCs w:val="26"/>
        </w:rPr>
        <w:t xml:space="preserve"> полная учетной стоимости основных фондов коммерческих организаций представлена на основании предварительных данных </w:t>
      </w:r>
      <w:proofErr w:type="spellStart"/>
      <w:r w:rsidRPr="000158C0">
        <w:rPr>
          <w:sz w:val="26"/>
          <w:szCs w:val="26"/>
        </w:rPr>
        <w:t>Архангельскстата</w:t>
      </w:r>
      <w:proofErr w:type="spellEnd"/>
      <w:r w:rsidRPr="000158C0">
        <w:rPr>
          <w:sz w:val="26"/>
          <w:szCs w:val="26"/>
        </w:rPr>
        <w:t xml:space="preserve"> о наличии основных фондов коммерческих организаций на конец 2014 года по полной учетной стоимости с учетом переоценки, осуществленной на конец отчетного года. В отчетность включены здания, сооружения по полной учетной стоимости с учетом переоценки, осуществленной на конец отчетного года; объекты незавершенные строительством, предназначенные для собственного использования или оплаченные заказчиком; стоимость земельных участков и других объектов природопользования, отражаемая в бухгалтерском учете в составе основных средств. </w:t>
      </w:r>
    </w:p>
    <w:p w:rsidR="003F6AC4" w:rsidRDefault="003F6AC4" w:rsidP="003F6AC4">
      <w:pPr>
        <w:spacing w:line="288" w:lineRule="auto"/>
        <w:ind w:firstLine="709"/>
        <w:jc w:val="both"/>
        <w:rPr>
          <w:sz w:val="26"/>
          <w:szCs w:val="26"/>
        </w:rPr>
      </w:pPr>
      <w:r w:rsidRPr="000158C0">
        <w:rPr>
          <w:sz w:val="26"/>
          <w:szCs w:val="26"/>
        </w:rPr>
        <w:t>Прогнозные значения на 2015-2018 годы разработаны на основании прогнозов среднегодовой стоимости основных фондов, предоставленных муниципальными образованиями и динамики данных за 2012-2014 годы.</w:t>
      </w:r>
    </w:p>
    <w:p w:rsidR="003E3F2C" w:rsidRDefault="003E3F2C" w:rsidP="003E3F2C">
      <w:pPr>
        <w:pStyle w:val="2"/>
        <w:spacing w:before="120" w:after="0" w:line="288" w:lineRule="auto"/>
        <w:jc w:val="both"/>
        <w:rPr>
          <w:sz w:val="26"/>
        </w:rPr>
      </w:pPr>
      <w:r w:rsidRPr="006D376B">
        <w:rPr>
          <w:sz w:val="26"/>
        </w:rPr>
        <w:lastRenderedPageBreak/>
        <w:t>Сопоставление параметров прогноза с ранее утверждёнными параметрами с указанием причин и факторов прогнозируемых изменений.</w:t>
      </w:r>
    </w:p>
    <w:p w:rsidR="00C03D84" w:rsidRDefault="00C03D84" w:rsidP="00C03D84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4 статьи 173 Бюджетного кодекса Российской Федерации </w:t>
      </w:r>
      <w:r w:rsidR="0068475A">
        <w:rPr>
          <w:sz w:val="26"/>
          <w:szCs w:val="26"/>
        </w:rPr>
        <w:t xml:space="preserve">сформировано </w:t>
      </w:r>
      <w:r>
        <w:rPr>
          <w:sz w:val="26"/>
        </w:rPr>
        <w:t>с</w:t>
      </w:r>
      <w:r w:rsidRPr="006D376B">
        <w:rPr>
          <w:sz w:val="26"/>
        </w:rPr>
        <w:t xml:space="preserve">опоставление </w:t>
      </w:r>
      <w:r>
        <w:rPr>
          <w:sz w:val="26"/>
        </w:rPr>
        <w:t xml:space="preserve">ключевых </w:t>
      </w:r>
      <w:r w:rsidRPr="006D376B">
        <w:rPr>
          <w:sz w:val="26"/>
        </w:rPr>
        <w:t>параметров прогноза</w:t>
      </w:r>
      <w:r w:rsidR="00F255AE">
        <w:rPr>
          <w:sz w:val="26"/>
        </w:rPr>
        <w:t xml:space="preserve"> Архангельской области</w:t>
      </w:r>
      <w:r>
        <w:rPr>
          <w:sz w:val="26"/>
        </w:rPr>
        <w:t xml:space="preserve"> на 2016 год, разработанных в рамках бюджетного процесса в 2015 году, </w:t>
      </w:r>
      <w:r w:rsidRPr="006D376B">
        <w:rPr>
          <w:sz w:val="26"/>
        </w:rPr>
        <w:t>с ранее утверждёнными параметрами</w:t>
      </w:r>
      <w:r>
        <w:rPr>
          <w:sz w:val="26"/>
        </w:rPr>
        <w:t xml:space="preserve"> на 2016 год (распоряжение </w:t>
      </w:r>
      <w:r w:rsidR="0068475A">
        <w:rPr>
          <w:sz w:val="26"/>
        </w:rPr>
        <w:br/>
      </w:r>
      <w:r>
        <w:rPr>
          <w:sz w:val="26"/>
        </w:rPr>
        <w:t>№ 337-рп от 14.10.2014)</w:t>
      </w:r>
      <w:r w:rsidRPr="006D376B">
        <w:rPr>
          <w:sz w:val="26"/>
        </w:rPr>
        <w:t xml:space="preserve"> с указанием причин и факторов прогнозируемых изменений</w:t>
      </w:r>
      <w:r>
        <w:rPr>
          <w:sz w:val="26"/>
        </w:rPr>
        <w:t xml:space="preserve"> </w:t>
      </w:r>
      <w:r w:rsidR="00F255AE">
        <w:rPr>
          <w:sz w:val="26"/>
        </w:rPr>
        <w:br/>
      </w:r>
      <w:r>
        <w:rPr>
          <w:sz w:val="26"/>
        </w:rPr>
        <w:t xml:space="preserve">(при изменении более 5% или процентных </w:t>
      </w:r>
      <w:r w:rsidRPr="003E3F2C">
        <w:rPr>
          <w:sz w:val="26"/>
          <w:szCs w:val="26"/>
        </w:rPr>
        <w:t>пунктов).</w:t>
      </w:r>
      <w:r w:rsidR="00F255AE">
        <w:rPr>
          <w:sz w:val="26"/>
          <w:szCs w:val="26"/>
        </w:rPr>
        <w:t xml:space="preserve"> </w:t>
      </w:r>
      <w:proofErr w:type="gramEnd"/>
    </w:p>
    <w:p w:rsidR="00F255AE" w:rsidRDefault="00F255AE" w:rsidP="00C03D84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Уточнение прогнозных значений на 2016 год по Ненецкому автономному округу произведено в связи с изменением данных показателей Администрацией Ненецкого автономного округа.</w:t>
      </w:r>
    </w:p>
    <w:p w:rsidR="00CC2E80" w:rsidRDefault="003E3F2C" w:rsidP="003E3F2C">
      <w:pPr>
        <w:spacing w:line="288" w:lineRule="auto"/>
        <w:ind w:firstLine="709"/>
        <w:jc w:val="both"/>
        <w:rPr>
          <w:sz w:val="26"/>
          <w:szCs w:val="26"/>
        </w:rPr>
      </w:pPr>
      <w:r w:rsidRPr="003E3F2C">
        <w:rPr>
          <w:sz w:val="26"/>
          <w:szCs w:val="26"/>
        </w:rPr>
        <w:t xml:space="preserve">Дополнительно отмечаем, что </w:t>
      </w:r>
      <w:r w:rsidR="004D4221">
        <w:rPr>
          <w:sz w:val="26"/>
          <w:szCs w:val="26"/>
        </w:rPr>
        <w:t xml:space="preserve">основной причиной, </w:t>
      </w:r>
      <w:r w:rsidRPr="003E3F2C">
        <w:rPr>
          <w:sz w:val="26"/>
          <w:szCs w:val="26"/>
        </w:rPr>
        <w:t>обусловивш</w:t>
      </w:r>
      <w:r w:rsidR="004D4221">
        <w:rPr>
          <w:sz w:val="26"/>
          <w:szCs w:val="26"/>
        </w:rPr>
        <w:t>ей</w:t>
      </w:r>
      <w:r w:rsidRPr="003E3F2C">
        <w:rPr>
          <w:sz w:val="26"/>
          <w:szCs w:val="26"/>
        </w:rPr>
        <w:t xml:space="preserve"> уточнение прогно</w:t>
      </w:r>
      <w:r w:rsidR="004D4221">
        <w:rPr>
          <w:sz w:val="26"/>
          <w:szCs w:val="26"/>
        </w:rPr>
        <w:t>зных значений на 2016 год</w:t>
      </w:r>
      <w:r w:rsidR="007569CF">
        <w:rPr>
          <w:sz w:val="26"/>
          <w:szCs w:val="26"/>
        </w:rPr>
        <w:t>,</w:t>
      </w:r>
      <w:r w:rsidR="004D4221">
        <w:rPr>
          <w:sz w:val="26"/>
          <w:szCs w:val="26"/>
        </w:rPr>
        <w:t xml:space="preserve"> явился </w:t>
      </w:r>
      <w:r w:rsidR="00404BE4">
        <w:rPr>
          <w:sz w:val="26"/>
          <w:szCs w:val="26"/>
        </w:rPr>
        <w:t xml:space="preserve">существенный </w:t>
      </w:r>
      <w:r w:rsidR="004D4221">
        <w:rPr>
          <w:sz w:val="26"/>
          <w:szCs w:val="26"/>
        </w:rPr>
        <w:t>пересмотр основных макроэкономических показателей Министерством экономического развития Российской Федерации, сопоставление данных</w:t>
      </w:r>
      <w:r w:rsidR="00404BE4">
        <w:rPr>
          <w:sz w:val="26"/>
          <w:szCs w:val="26"/>
        </w:rPr>
        <w:t xml:space="preserve"> за 2014 и 2015 годы</w:t>
      </w:r>
      <w:r w:rsidR="004D4221">
        <w:rPr>
          <w:sz w:val="26"/>
          <w:szCs w:val="26"/>
        </w:rPr>
        <w:t xml:space="preserve"> представлено </w:t>
      </w:r>
      <w:r w:rsidR="00404BE4">
        <w:rPr>
          <w:sz w:val="26"/>
          <w:szCs w:val="26"/>
        </w:rPr>
        <w:br/>
      </w:r>
      <w:r w:rsidR="004D4221">
        <w:rPr>
          <w:sz w:val="26"/>
          <w:szCs w:val="26"/>
        </w:rPr>
        <w:t>в таблице.</w:t>
      </w:r>
    </w:p>
    <w:tbl>
      <w:tblPr>
        <w:tblStyle w:val="ac"/>
        <w:tblW w:w="0" w:type="auto"/>
        <w:tblLook w:val="04A0"/>
      </w:tblPr>
      <w:tblGrid>
        <w:gridCol w:w="4506"/>
        <w:gridCol w:w="2419"/>
        <w:gridCol w:w="2419"/>
      </w:tblGrid>
      <w:tr w:rsidR="004D4221" w:rsidRPr="00404BE4" w:rsidTr="00404BE4">
        <w:trPr>
          <w:tblHeader/>
        </w:trPr>
        <w:tc>
          <w:tcPr>
            <w:tcW w:w="4506" w:type="dxa"/>
            <w:vMerge w:val="restart"/>
            <w:vAlign w:val="center"/>
          </w:tcPr>
          <w:p w:rsidR="004D4221" w:rsidRPr="00404BE4" w:rsidRDefault="004D4221" w:rsidP="004D4221">
            <w:pPr>
              <w:jc w:val="center"/>
            </w:pPr>
            <w:r w:rsidRPr="00404BE4">
              <w:t>Показатель</w:t>
            </w:r>
          </w:p>
        </w:tc>
        <w:tc>
          <w:tcPr>
            <w:tcW w:w="4838" w:type="dxa"/>
            <w:gridSpan w:val="2"/>
          </w:tcPr>
          <w:p w:rsidR="004D4221" w:rsidRPr="00404BE4" w:rsidRDefault="004D4221" w:rsidP="004D4221">
            <w:pPr>
              <w:jc w:val="center"/>
            </w:pPr>
            <w:r w:rsidRPr="00404BE4">
              <w:t>Прогноз 2016 года</w:t>
            </w:r>
          </w:p>
        </w:tc>
      </w:tr>
      <w:tr w:rsidR="004D4221" w:rsidRPr="00404BE4" w:rsidTr="00404BE4">
        <w:trPr>
          <w:tblHeader/>
        </w:trPr>
        <w:tc>
          <w:tcPr>
            <w:tcW w:w="4506" w:type="dxa"/>
            <w:vMerge/>
          </w:tcPr>
          <w:p w:rsidR="004D4221" w:rsidRPr="00404BE4" w:rsidRDefault="004D4221" w:rsidP="004D4221">
            <w:pPr>
              <w:jc w:val="both"/>
            </w:pPr>
          </w:p>
        </w:tc>
        <w:tc>
          <w:tcPr>
            <w:tcW w:w="2419" w:type="dxa"/>
          </w:tcPr>
          <w:p w:rsidR="00404BE4" w:rsidRPr="00404BE4" w:rsidRDefault="004D4221" w:rsidP="004D4221">
            <w:pPr>
              <w:jc w:val="center"/>
            </w:pPr>
            <w:r w:rsidRPr="00404BE4">
              <w:t xml:space="preserve">материалы Минэкономразвития </w:t>
            </w:r>
            <w:r w:rsidR="00404BE4" w:rsidRPr="00404BE4">
              <w:t>Российской Федерации</w:t>
            </w:r>
          </w:p>
          <w:p w:rsidR="004D4221" w:rsidRPr="00404BE4" w:rsidRDefault="004D4221" w:rsidP="004D4221">
            <w:pPr>
              <w:jc w:val="center"/>
            </w:pPr>
            <w:r w:rsidRPr="00404BE4">
              <w:t>(июнь 2014 года)</w:t>
            </w:r>
          </w:p>
        </w:tc>
        <w:tc>
          <w:tcPr>
            <w:tcW w:w="2419" w:type="dxa"/>
          </w:tcPr>
          <w:p w:rsidR="00404BE4" w:rsidRPr="00404BE4" w:rsidRDefault="004D4221" w:rsidP="004D4221">
            <w:pPr>
              <w:jc w:val="center"/>
            </w:pPr>
            <w:r w:rsidRPr="00404BE4">
              <w:t xml:space="preserve">материалы Минэкономразвития </w:t>
            </w:r>
            <w:r w:rsidR="00404BE4" w:rsidRPr="00404BE4">
              <w:t>Российской Федерации</w:t>
            </w:r>
          </w:p>
          <w:p w:rsidR="004D4221" w:rsidRPr="00404BE4" w:rsidRDefault="004D4221" w:rsidP="004D4221">
            <w:pPr>
              <w:jc w:val="center"/>
            </w:pPr>
            <w:r w:rsidRPr="00404BE4">
              <w:t>(октябрь 2015 года)</w:t>
            </w:r>
          </w:p>
        </w:tc>
      </w:tr>
      <w:tr w:rsidR="004D4221" w:rsidRPr="00404BE4" w:rsidTr="00404BE4">
        <w:tc>
          <w:tcPr>
            <w:tcW w:w="4506" w:type="dxa"/>
          </w:tcPr>
          <w:p w:rsidR="004D4221" w:rsidRPr="00404BE4" w:rsidRDefault="004D4221" w:rsidP="004D4221">
            <w:r w:rsidRPr="00404BE4">
              <w:t>Индекс потребительских цен</w:t>
            </w:r>
          </w:p>
        </w:tc>
        <w:tc>
          <w:tcPr>
            <w:tcW w:w="2419" w:type="dxa"/>
            <w:vAlign w:val="center"/>
          </w:tcPr>
          <w:p w:rsidR="004D4221" w:rsidRPr="00404BE4" w:rsidRDefault="004D4221" w:rsidP="00404BE4">
            <w:pPr>
              <w:jc w:val="center"/>
            </w:pPr>
          </w:p>
        </w:tc>
        <w:tc>
          <w:tcPr>
            <w:tcW w:w="2419" w:type="dxa"/>
            <w:vAlign w:val="center"/>
          </w:tcPr>
          <w:p w:rsidR="004D4221" w:rsidRPr="00404BE4" w:rsidRDefault="004D4221" w:rsidP="00404BE4">
            <w:pPr>
              <w:jc w:val="center"/>
            </w:pPr>
          </w:p>
        </w:tc>
      </w:tr>
      <w:tr w:rsidR="004D4221" w:rsidRPr="00404BE4" w:rsidTr="00404BE4">
        <w:tc>
          <w:tcPr>
            <w:tcW w:w="4506" w:type="dxa"/>
          </w:tcPr>
          <w:p w:rsidR="004D4221" w:rsidRPr="00404BE4" w:rsidRDefault="004D4221" w:rsidP="004D4221">
            <w:pPr>
              <w:jc w:val="right"/>
            </w:pPr>
            <w:r w:rsidRPr="00404BE4">
              <w:t>декабрь к декабрю, %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104,5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106,4</w:t>
            </w:r>
          </w:p>
        </w:tc>
      </w:tr>
      <w:tr w:rsidR="004D4221" w:rsidRPr="00404BE4" w:rsidTr="00404BE4">
        <w:tc>
          <w:tcPr>
            <w:tcW w:w="4506" w:type="dxa"/>
          </w:tcPr>
          <w:p w:rsidR="004D4221" w:rsidRPr="00404BE4" w:rsidRDefault="004D4221" w:rsidP="004D4221">
            <w:pPr>
              <w:jc w:val="right"/>
            </w:pPr>
            <w:r w:rsidRPr="00404BE4">
              <w:t>среднегодовой, %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104,7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107,4</w:t>
            </w:r>
          </w:p>
        </w:tc>
      </w:tr>
      <w:tr w:rsidR="004D4221" w:rsidRPr="00404BE4" w:rsidTr="00404BE4">
        <w:tc>
          <w:tcPr>
            <w:tcW w:w="4506" w:type="dxa"/>
          </w:tcPr>
          <w:p w:rsidR="004D4221" w:rsidRPr="00404BE4" w:rsidRDefault="004D4221" w:rsidP="004D4221">
            <w:r w:rsidRPr="00404BE4">
              <w:t>Валовой внутренний продукт (темп роста), %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102,5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100,7</w:t>
            </w:r>
          </w:p>
        </w:tc>
      </w:tr>
      <w:tr w:rsidR="004D4221" w:rsidRPr="00404BE4" w:rsidTr="00404BE4">
        <w:tc>
          <w:tcPr>
            <w:tcW w:w="4506" w:type="dxa"/>
          </w:tcPr>
          <w:p w:rsidR="004D4221" w:rsidRPr="00404BE4" w:rsidRDefault="004D4221" w:rsidP="004D4221">
            <w:r w:rsidRPr="00404BE4">
              <w:t>Индекс промышленного производства, %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101,6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100,6</w:t>
            </w:r>
          </w:p>
        </w:tc>
      </w:tr>
      <w:tr w:rsidR="004D4221" w:rsidRPr="00404BE4" w:rsidTr="00404BE4">
        <w:tc>
          <w:tcPr>
            <w:tcW w:w="4506" w:type="dxa"/>
          </w:tcPr>
          <w:p w:rsidR="004D4221" w:rsidRPr="00404BE4" w:rsidRDefault="004D4221" w:rsidP="004D4221">
            <w:r w:rsidRPr="00404BE4">
              <w:t>Инвестиции в основной капитал (темп роста), %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101,6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98,4</w:t>
            </w:r>
          </w:p>
        </w:tc>
      </w:tr>
      <w:tr w:rsidR="004D4221" w:rsidRPr="00404BE4" w:rsidTr="00404BE4">
        <w:tc>
          <w:tcPr>
            <w:tcW w:w="4506" w:type="dxa"/>
          </w:tcPr>
          <w:p w:rsidR="004D4221" w:rsidRPr="00404BE4" w:rsidRDefault="004D4221" w:rsidP="004D4221">
            <w:r w:rsidRPr="00404BE4">
              <w:t>Оборот розничной торговли (темп роста), %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103,0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100,4</w:t>
            </w:r>
          </w:p>
        </w:tc>
      </w:tr>
      <w:tr w:rsidR="004D4221" w:rsidRPr="00404BE4" w:rsidTr="00404BE4">
        <w:tc>
          <w:tcPr>
            <w:tcW w:w="4506" w:type="dxa"/>
          </w:tcPr>
          <w:p w:rsidR="004D4221" w:rsidRPr="00404BE4" w:rsidRDefault="00404BE4" w:rsidP="004D4221">
            <w:pPr>
              <w:rPr>
                <w:spacing w:val="-4"/>
              </w:rPr>
            </w:pPr>
            <w:r w:rsidRPr="00404BE4">
              <w:rPr>
                <w:spacing w:val="-4"/>
              </w:rPr>
              <w:t>Номинальная начисленная среднемесячная заработная плата на одного работник</w:t>
            </w:r>
            <w:proofErr w:type="gramStart"/>
            <w:r w:rsidRPr="00404BE4">
              <w:rPr>
                <w:spacing w:val="-4"/>
              </w:rPr>
              <w:t>а(</w:t>
            </w:r>
            <w:proofErr w:type="gramEnd"/>
            <w:r w:rsidRPr="00404BE4">
              <w:rPr>
                <w:spacing w:val="-4"/>
              </w:rPr>
              <w:t xml:space="preserve">темп роста), % 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107,7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107,2</w:t>
            </w:r>
          </w:p>
        </w:tc>
      </w:tr>
      <w:tr w:rsidR="004D4221" w:rsidRPr="00404BE4" w:rsidTr="00404BE4">
        <w:tc>
          <w:tcPr>
            <w:tcW w:w="4506" w:type="dxa"/>
          </w:tcPr>
          <w:p w:rsidR="004D4221" w:rsidRPr="00404BE4" w:rsidRDefault="00404BE4" w:rsidP="004D4221">
            <w:r w:rsidRPr="00404BE4">
              <w:t>Реальная заработная плата, %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102,9</w:t>
            </w:r>
          </w:p>
        </w:tc>
        <w:tc>
          <w:tcPr>
            <w:tcW w:w="2419" w:type="dxa"/>
            <w:vAlign w:val="center"/>
          </w:tcPr>
          <w:p w:rsidR="004D4221" w:rsidRPr="00404BE4" w:rsidRDefault="00404BE4" w:rsidP="00404BE4">
            <w:pPr>
              <w:jc w:val="center"/>
            </w:pPr>
            <w:r>
              <w:t>99,8</w:t>
            </w:r>
          </w:p>
        </w:tc>
      </w:tr>
      <w:tr w:rsidR="00404BE4" w:rsidRPr="00404BE4" w:rsidTr="00404BE4">
        <w:tc>
          <w:tcPr>
            <w:tcW w:w="4506" w:type="dxa"/>
          </w:tcPr>
          <w:p w:rsidR="00404BE4" w:rsidRPr="00404BE4" w:rsidRDefault="00404BE4" w:rsidP="004D4221"/>
        </w:tc>
        <w:tc>
          <w:tcPr>
            <w:tcW w:w="2419" w:type="dxa"/>
            <w:vAlign w:val="center"/>
          </w:tcPr>
          <w:p w:rsidR="00404BE4" w:rsidRPr="00404BE4" w:rsidRDefault="00404BE4" w:rsidP="00404BE4">
            <w:pPr>
              <w:jc w:val="center"/>
            </w:pPr>
          </w:p>
        </w:tc>
        <w:tc>
          <w:tcPr>
            <w:tcW w:w="2419" w:type="dxa"/>
            <w:vAlign w:val="center"/>
          </w:tcPr>
          <w:p w:rsidR="00404BE4" w:rsidRPr="00404BE4" w:rsidRDefault="00404BE4" w:rsidP="00404BE4">
            <w:pPr>
              <w:jc w:val="center"/>
            </w:pPr>
          </w:p>
        </w:tc>
      </w:tr>
      <w:tr w:rsidR="00404BE4" w:rsidRPr="00404BE4" w:rsidTr="00404BE4">
        <w:tc>
          <w:tcPr>
            <w:tcW w:w="4506" w:type="dxa"/>
          </w:tcPr>
          <w:p w:rsidR="00404BE4" w:rsidRPr="00404BE4" w:rsidRDefault="00404BE4" w:rsidP="00404BE4">
            <w:r w:rsidRPr="00404BE4">
              <w:t xml:space="preserve">Цены на нефть </w:t>
            </w:r>
            <w:proofErr w:type="spellStart"/>
            <w:r w:rsidRPr="00404BE4">
              <w:t>Urals</w:t>
            </w:r>
            <w:proofErr w:type="spellEnd"/>
            <w:r w:rsidRPr="00404BE4">
              <w:t xml:space="preserve"> (мировые), </w:t>
            </w:r>
            <w:r>
              <w:br/>
            </w:r>
            <w:r w:rsidRPr="00404BE4">
              <w:t>доллар США</w:t>
            </w:r>
            <w:r>
              <w:t>/</w:t>
            </w:r>
            <w:r w:rsidRPr="00404BE4">
              <w:t>барр</w:t>
            </w:r>
            <w:r>
              <w:t>ель</w:t>
            </w:r>
          </w:p>
        </w:tc>
        <w:tc>
          <w:tcPr>
            <w:tcW w:w="2419" w:type="dxa"/>
            <w:vAlign w:val="center"/>
          </w:tcPr>
          <w:p w:rsidR="00404BE4" w:rsidRPr="00404BE4" w:rsidRDefault="00404BE4" w:rsidP="00404BE4">
            <w:pPr>
              <w:jc w:val="center"/>
            </w:pPr>
            <w:r>
              <w:t>100,0</w:t>
            </w:r>
          </w:p>
        </w:tc>
        <w:tc>
          <w:tcPr>
            <w:tcW w:w="2419" w:type="dxa"/>
            <w:vAlign w:val="center"/>
          </w:tcPr>
          <w:p w:rsidR="00404BE4" w:rsidRPr="00404BE4" w:rsidRDefault="00404BE4" w:rsidP="00404BE4">
            <w:pPr>
              <w:jc w:val="center"/>
            </w:pPr>
            <w:r>
              <w:t>50,0</w:t>
            </w:r>
          </w:p>
        </w:tc>
      </w:tr>
      <w:tr w:rsidR="00404BE4" w:rsidRPr="00404BE4" w:rsidTr="00404BE4">
        <w:tc>
          <w:tcPr>
            <w:tcW w:w="4506" w:type="dxa"/>
          </w:tcPr>
          <w:p w:rsidR="00404BE4" w:rsidRPr="00404BE4" w:rsidRDefault="00404BE4" w:rsidP="004D4221">
            <w:r w:rsidRPr="00404BE4">
              <w:t xml:space="preserve">Курс доллара (среднегодовой), </w:t>
            </w:r>
            <w:r>
              <w:br/>
            </w:r>
            <w:r w:rsidRPr="00404BE4">
              <w:t>рублей за доллар США</w:t>
            </w:r>
          </w:p>
        </w:tc>
        <w:tc>
          <w:tcPr>
            <w:tcW w:w="2419" w:type="dxa"/>
            <w:vAlign w:val="center"/>
          </w:tcPr>
          <w:p w:rsidR="00404BE4" w:rsidRPr="00404BE4" w:rsidRDefault="00404BE4" w:rsidP="00404BE4">
            <w:pPr>
              <w:jc w:val="center"/>
            </w:pPr>
            <w:r>
              <w:t>38,0</w:t>
            </w:r>
          </w:p>
        </w:tc>
        <w:tc>
          <w:tcPr>
            <w:tcW w:w="2419" w:type="dxa"/>
            <w:vAlign w:val="center"/>
          </w:tcPr>
          <w:p w:rsidR="00404BE4" w:rsidRPr="00404BE4" w:rsidRDefault="00404BE4" w:rsidP="00404BE4">
            <w:pPr>
              <w:jc w:val="center"/>
            </w:pPr>
            <w:r>
              <w:t>63,3</w:t>
            </w:r>
          </w:p>
        </w:tc>
      </w:tr>
    </w:tbl>
    <w:p w:rsidR="004D4221" w:rsidRDefault="004D4221" w:rsidP="003E3F2C">
      <w:pPr>
        <w:spacing w:line="288" w:lineRule="auto"/>
        <w:ind w:firstLine="709"/>
        <w:jc w:val="both"/>
        <w:rPr>
          <w:sz w:val="26"/>
          <w:szCs w:val="26"/>
        </w:rPr>
      </w:pPr>
    </w:p>
    <w:p w:rsidR="00404BE4" w:rsidRDefault="00404BE4" w:rsidP="00404BE4">
      <w:pPr>
        <w:spacing w:line="288" w:lineRule="auto"/>
        <w:ind w:firstLine="709"/>
        <w:jc w:val="center"/>
        <w:rPr>
          <w:sz w:val="26"/>
        </w:rPr>
      </w:pPr>
      <w:r>
        <w:rPr>
          <w:sz w:val="26"/>
        </w:rPr>
        <w:t>С</w:t>
      </w:r>
      <w:r w:rsidRPr="006D376B">
        <w:rPr>
          <w:sz w:val="26"/>
        </w:rPr>
        <w:t xml:space="preserve">опоставление </w:t>
      </w:r>
      <w:r>
        <w:rPr>
          <w:sz w:val="26"/>
        </w:rPr>
        <w:t xml:space="preserve">ключевых </w:t>
      </w:r>
      <w:r w:rsidRPr="006D376B">
        <w:rPr>
          <w:sz w:val="26"/>
        </w:rPr>
        <w:t>параметров прогноза</w:t>
      </w:r>
      <w:r>
        <w:rPr>
          <w:sz w:val="26"/>
        </w:rPr>
        <w:t xml:space="preserve"> на 2016 год, </w:t>
      </w:r>
      <w:r>
        <w:rPr>
          <w:sz w:val="26"/>
        </w:rPr>
        <w:br/>
        <w:t xml:space="preserve">разработанных в рамках бюджетного процесса в 2015 году, </w:t>
      </w:r>
    </w:p>
    <w:p w:rsidR="004D4221" w:rsidRDefault="00404BE4" w:rsidP="00404BE4">
      <w:pPr>
        <w:spacing w:line="288" w:lineRule="auto"/>
        <w:ind w:firstLine="709"/>
        <w:jc w:val="center"/>
        <w:rPr>
          <w:sz w:val="26"/>
          <w:szCs w:val="26"/>
        </w:rPr>
      </w:pPr>
      <w:r w:rsidRPr="006D376B">
        <w:rPr>
          <w:sz w:val="26"/>
        </w:rPr>
        <w:t>с ранее утверждёнными параметрами</w:t>
      </w:r>
      <w:r>
        <w:rPr>
          <w:sz w:val="26"/>
        </w:rPr>
        <w:t xml:space="preserve"> на 2016 год </w:t>
      </w:r>
      <w:r>
        <w:rPr>
          <w:sz w:val="26"/>
        </w:rPr>
        <w:br/>
        <w:t>(распоряжение № 337-рп от 14.10.2014)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559"/>
        <w:gridCol w:w="1134"/>
        <w:gridCol w:w="851"/>
        <w:gridCol w:w="2410"/>
      </w:tblGrid>
      <w:tr w:rsidR="008F7E10" w:rsidRPr="00F255AE" w:rsidTr="00F1117C">
        <w:trPr>
          <w:tblHeader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Единица </w:t>
            </w:r>
            <w:r w:rsidRPr="00F255AE">
              <w:rPr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:rsidR="008F7E10" w:rsidRPr="00F255AE" w:rsidRDefault="008F7E10" w:rsidP="00F1117C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lastRenderedPageBreak/>
              <w:t>2016 год (прогноз)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255AE">
              <w:rPr>
                <w:sz w:val="18"/>
                <w:szCs w:val="18"/>
              </w:rPr>
              <w:t>Откло</w:t>
            </w:r>
            <w:r w:rsidR="00F255AE" w:rsidRPr="00F255AE">
              <w:rPr>
                <w:sz w:val="18"/>
                <w:szCs w:val="18"/>
              </w:rPr>
              <w:t>-</w:t>
            </w:r>
            <w:r w:rsidRPr="00F255AE">
              <w:rPr>
                <w:sz w:val="18"/>
                <w:szCs w:val="18"/>
              </w:rPr>
              <w:lastRenderedPageBreak/>
              <w:t>нение</w:t>
            </w:r>
            <w:proofErr w:type="spellEnd"/>
            <w:proofErr w:type="gramEnd"/>
            <w:r w:rsidRPr="00F255AE">
              <w:rPr>
                <w:sz w:val="18"/>
                <w:szCs w:val="18"/>
              </w:rPr>
              <w:t>, % (п.п.)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lastRenderedPageBreak/>
              <w:t xml:space="preserve">Причины отклонений (при </w:t>
            </w:r>
            <w:r w:rsidRPr="00F255AE">
              <w:rPr>
                <w:sz w:val="18"/>
                <w:szCs w:val="18"/>
              </w:rPr>
              <w:lastRenderedPageBreak/>
              <w:t>отклонении более 5%, п.п.)</w:t>
            </w:r>
          </w:p>
        </w:tc>
      </w:tr>
      <w:tr w:rsidR="008F7E10" w:rsidRPr="00F255AE" w:rsidTr="00F1117C">
        <w:trPr>
          <w:tblHeader/>
        </w:trPr>
        <w:tc>
          <w:tcPr>
            <w:tcW w:w="2410" w:type="dxa"/>
            <w:vMerge/>
            <w:shd w:val="clear" w:color="auto" w:fill="auto"/>
            <w:vAlign w:val="center"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68475A" w:rsidRPr="0068475A" w:rsidRDefault="008F7E10" w:rsidP="00F1117C">
            <w:pPr>
              <w:jc w:val="center"/>
              <w:rPr>
                <w:color w:val="000000"/>
                <w:sz w:val="18"/>
                <w:szCs w:val="18"/>
              </w:rPr>
            </w:pPr>
            <w:r w:rsidRPr="0068475A">
              <w:rPr>
                <w:color w:val="000000"/>
                <w:sz w:val="18"/>
                <w:szCs w:val="18"/>
              </w:rPr>
              <w:t xml:space="preserve">одобрено распоряжением Правительства Архангельской области </w:t>
            </w:r>
          </w:p>
          <w:p w:rsidR="008F7E10" w:rsidRPr="0068475A" w:rsidRDefault="008F7E10" w:rsidP="00F1117C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68475A">
              <w:rPr>
                <w:color w:val="000000"/>
                <w:spacing w:val="-4"/>
                <w:sz w:val="18"/>
                <w:szCs w:val="18"/>
              </w:rPr>
              <w:t>от 14 октября 2014 г. № 337-рп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8475A" w:rsidRDefault="008F7E10" w:rsidP="00F1117C">
            <w:pPr>
              <w:jc w:val="center"/>
              <w:rPr>
                <w:color w:val="000000"/>
                <w:sz w:val="18"/>
                <w:szCs w:val="18"/>
              </w:rPr>
            </w:pPr>
            <w:r w:rsidRPr="00F255AE">
              <w:rPr>
                <w:color w:val="000000"/>
                <w:sz w:val="18"/>
                <w:szCs w:val="18"/>
              </w:rPr>
              <w:t xml:space="preserve">в рамках разработки проекта областного бюджета </w:t>
            </w:r>
          </w:p>
          <w:p w:rsidR="008F7E10" w:rsidRPr="00F255AE" w:rsidRDefault="008F7E10" w:rsidP="00F1117C">
            <w:pPr>
              <w:jc w:val="center"/>
              <w:rPr>
                <w:color w:val="000000"/>
                <w:sz w:val="18"/>
                <w:szCs w:val="18"/>
              </w:rPr>
            </w:pPr>
            <w:r w:rsidRPr="00F255AE">
              <w:rPr>
                <w:color w:val="000000"/>
                <w:sz w:val="18"/>
                <w:szCs w:val="18"/>
              </w:rPr>
              <w:t>на 2016 год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</w:p>
        </w:tc>
      </w:tr>
      <w:tr w:rsidR="0068475A" w:rsidRPr="0068475A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68475A" w:rsidRPr="0068475A" w:rsidRDefault="0068475A" w:rsidP="00F1117C">
            <w:pPr>
              <w:rPr>
                <w:b/>
                <w:bCs/>
                <w:sz w:val="18"/>
                <w:szCs w:val="18"/>
              </w:rPr>
            </w:pPr>
            <w:r w:rsidRPr="0068475A">
              <w:rPr>
                <w:b/>
                <w:bCs/>
                <w:sz w:val="18"/>
                <w:szCs w:val="18"/>
              </w:rPr>
              <w:lastRenderedPageBreak/>
              <w:t>Демографические показатели</w:t>
            </w:r>
            <w:r w:rsidRPr="0068475A">
              <w:rPr>
                <w:b/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Численность постоянного населения (среднегодовая)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color w:val="000000"/>
                <w:sz w:val="18"/>
                <w:szCs w:val="18"/>
              </w:rPr>
            </w:pPr>
            <w:r w:rsidRPr="00F255AE">
              <w:rPr>
                <w:color w:val="000000"/>
                <w:sz w:val="18"/>
                <w:szCs w:val="18"/>
              </w:rPr>
              <w:t>1 125,0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1 125,8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jc w:val="right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городское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color w:val="000000"/>
                <w:sz w:val="18"/>
                <w:szCs w:val="18"/>
              </w:rPr>
            </w:pPr>
            <w:r w:rsidRPr="00F255AE">
              <w:rPr>
                <w:color w:val="000000"/>
                <w:sz w:val="18"/>
                <w:szCs w:val="18"/>
              </w:rPr>
              <w:t>867,3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874,8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jc w:val="right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color w:val="000000"/>
                <w:sz w:val="18"/>
                <w:szCs w:val="18"/>
              </w:rPr>
            </w:pPr>
            <w:r w:rsidRPr="00F255AE">
              <w:rPr>
                <w:color w:val="000000"/>
                <w:sz w:val="18"/>
                <w:szCs w:val="18"/>
              </w:rPr>
              <w:t>257,7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-2,6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число лет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-4,7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число умерших </w:t>
            </w:r>
            <w:r w:rsidR="005B2BF0">
              <w:rPr>
                <w:spacing w:val="-4"/>
                <w:sz w:val="18"/>
                <w:szCs w:val="18"/>
              </w:rPr>
              <w:br/>
            </w:r>
            <w:r w:rsidRPr="0068475A">
              <w:rPr>
                <w:spacing w:val="-4"/>
                <w:sz w:val="18"/>
                <w:szCs w:val="18"/>
              </w:rPr>
              <w:t>на 1000 человек населения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7,4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5B2BF0" w:rsidRDefault="008F7E10" w:rsidP="00F1117C">
            <w:pPr>
              <w:rPr>
                <w:spacing w:val="-4"/>
                <w:sz w:val="18"/>
                <w:szCs w:val="18"/>
              </w:rPr>
            </w:pPr>
            <w:r w:rsidRPr="005B2BF0">
              <w:rPr>
                <w:spacing w:val="-4"/>
                <w:sz w:val="18"/>
                <w:szCs w:val="18"/>
              </w:rPr>
              <w:t xml:space="preserve">Показатель пересчитан </w:t>
            </w:r>
            <w:r w:rsidR="005B2BF0" w:rsidRPr="005B2BF0">
              <w:rPr>
                <w:spacing w:val="-4"/>
                <w:sz w:val="18"/>
                <w:szCs w:val="18"/>
              </w:rPr>
              <w:br/>
            </w:r>
            <w:r w:rsidRPr="005B2BF0">
              <w:rPr>
                <w:spacing w:val="-4"/>
                <w:sz w:val="18"/>
                <w:szCs w:val="18"/>
              </w:rPr>
              <w:t xml:space="preserve">в связи с ухудшением ситуации в 2015 году: </w:t>
            </w:r>
            <w:r w:rsidR="005B2BF0" w:rsidRPr="005B2BF0">
              <w:rPr>
                <w:spacing w:val="-4"/>
                <w:sz w:val="18"/>
                <w:szCs w:val="18"/>
              </w:rPr>
              <w:br/>
            </w:r>
            <w:r w:rsidRPr="005B2BF0">
              <w:rPr>
                <w:spacing w:val="-4"/>
                <w:sz w:val="18"/>
                <w:szCs w:val="18"/>
              </w:rPr>
              <w:t>по итогам 8 месяцев 2014 года коэффициент смертности - 13,2; по итогам 8 месяцев 2015 года - 13,8.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Число </w:t>
            </w:r>
            <w:proofErr w:type="gramStart"/>
            <w:r w:rsidRPr="00F255AE">
              <w:rPr>
                <w:sz w:val="18"/>
                <w:szCs w:val="18"/>
              </w:rPr>
              <w:t>родившихся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14 120,0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13 461,0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-4,7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Число </w:t>
            </w:r>
            <w:proofErr w:type="gramStart"/>
            <w:r w:rsidRPr="00F255AE">
              <w:rPr>
                <w:sz w:val="18"/>
                <w:szCs w:val="18"/>
              </w:rPr>
              <w:t>умерших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14 450,0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15 535,0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7,5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Показатель пересчитан </w:t>
            </w:r>
            <w:r w:rsidR="005B2BF0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 xml:space="preserve">в связи с ухудшением ситуации в 2015 году: </w:t>
            </w:r>
            <w:r w:rsidR="005B2BF0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по итогам 8 месяцев 2014 года умерло 10086 человек; по итогам 8 месяцев 2015 года - 10437.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Сальдо миграции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-8 905,0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-7 060,0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-20,7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F255AE" w:rsidP="00F11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пересчитан</w:t>
            </w:r>
            <w:r w:rsidR="008F7E10" w:rsidRPr="00F255AE">
              <w:rPr>
                <w:sz w:val="18"/>
                <w:szCs w:val="18"/>
              </w:rPr>
              <w:t xml:space="preserve"> </w:t>
            </w:r>
            <w:r w:rsidR="005B2BF0">
              <w:rPr>
                <w:sz w:val="18"/>
                <w:szCs w:val="18"/>
              </w:rPr>
              <w:br/>
            </w:r>
            <w:r w:rsidR="008F7E10" w:rsidRPr="00F255AE">
              <w:rPr>
                <w:sz w:val="18"/>
                <w:szCs w:val="18"/>
              </w:rPr>
              <w:t>в связи с улучшением ситуации в 2014 году, когда по итогам года сальдо миграции составило 7727 человек при оценке годом ранее 8822 человека.</w:t>
            </w:r>
          </w:p>
        </w:tc>
      </w:tr>
      <w:tr w:rsidR="0068475A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68475A" w:rsidRPr="0068475A" w:rsidRDefault="0068475A" w:rsidP="00F1117C">
            <w:pPr>
              <w:rPr>
                <w:b/>
                <w:bCs/>
                <w:sz w:val="18"/>
                <w:szCs w:val="18"/>
              </w:rPr>
            </w:pPr>
            <w:r w:rsidRPr="0068475A">
              <w:rPr>
                <w:b/>
                <w:bCs/>
                <w:sz w:val="18"/>
                <w:szCs w:val="18"/>
              </w:rPr>
              <w:t>Производство товаров и услуг</w:t>
            </w:r>
            <w:r w:rsidRPr="0068475A">
              <w:rPr>
                <w:b/>
                <w:sz w:val="18"/>
                <w:szCs w:val="18"/>
              </w:rPr>
              <w:t> </w:t>
            </w:r>
          </w:p>
        </w:tc>
      </w:tr>
      <w:tr w:rsidR="0068475A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68475A" w:rsidRPr="0068475A" w:rsidRDefault="0068475A" w:rsidP="00F1117C">
            <w:pPr>
              <w:rPr>
                <w:bCs/>
                <w:sz w:val="18"/>
                <w:szCs w:val="18"/>
              </w:rPr>
            </w:pPr>
            <w:r w:rsidRPr="0068475A">
              <w:rPr>
                <w:b/>
                <w:bCs/>
                <w:sz w:val="18"/>
                <w:szCs w:val="18"/>
              </w:rPr>
              <w:t>Валовой региональный продукт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Валовой региональный продукт (в основных ценах соответствующих лет) -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382 019,5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431 845,0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13,0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Показатель пересчитан </w:t>
            </w:r>
            <w:r w:rsidR="005B2BF0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 xml:space="preserve">в связи с тем, что изменилась база для расчёта - в марте 2015 года Росстатом опубликована первая оценка 2013 года. </w:t>
            </w:r>
            <w:r w:rsidRPr="005B2BF0">
              <w:rPr>
                <w:spacing w:val="-4"/>
                <w:sz w:val="18"/>
                <w:szCs w:val="18"/>
              </w:rPr>
              <w:t xml:space="preserve">Увеличение </w:t>
            </w:r>
            <w:r w:rsidR="0068475A" w:rsidRPr="005B2BF0">
              <w:rPr>
                <w:spacing w:val="-4"/>
                <w:sz w:val="18"/>
                <w:szCs w:val="18"/>
              </w:rPr>
              <w:t xml:space="preserve">абсолютного значения показателя, кроме того, </w:t>
            </w:r>
            <w:r w:rsidRPr="005B2BF0">
              <w:rPr>
                <w:spacing w:val="-4"/>
                <w:sz w:val="18"/>
                <w:szCs w:val="18"/>
              </w:rPr>
              <w:t xml:space="preserve">обусловлено </w:t>
            </w:r>
            <w:r w:rsidR="00F255AE" w:rsidRPr="005B2BF0">
              <w:rPr>
                <w:spacing w:val="-4"/>
                <w:sz w:val="18"/>
                <w:szCs w:val="18"/>
              </w:rPr>
              <w:t>усилившимся</w:t>
            </w:r>
            <w:r w:rsidRPr="005B2BF0">
              <w:rPr>
                <w:spacing w:val="-4"/>
                <w:sz w:val="18"/>
                <w:szCs w:val="18"/>
              </w:rPr>
              <w:t xml:space="preserve"> влиянием инфляционной составляющей</w:t>
            </w:r>
            <w:r w:rsidR="0068475A" w:rsidRPr="005B2BF0">
              <w:rPr>
                <w:spacing w:val="-4"/>
                <w:sz w:val="18"/>
                <w:szCs w:val="18"/>
              </w:rPr>
              <w:t>, отраслевыми изменениями и т.д.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индекс физического объема валового регионального продукта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процентов предыдущему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1,1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68475A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68475A" w:rsidRPr="002976C5" w:rsidRDefault="0068475A" w:rsidP="00F1117C">
            <w:pPr>
              <w:rPr>
                <w:b/>
                <w:bCs/>
                <w:sz w:val="18"/>
                <w:szCs w:val="18"/>
              </w:rPr>
            </w:pPr>
            <w:r w:rsidRPr="0068475A">
              <w:rPr>
                <w:b/>
                <w:bCs/>
                <w:sz w:val="18"/>
                <w:szCs w:val="18"/>
              </w:rPr>
              <w:t>Промышленное производство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промышленного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-2,6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68475A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68475A" w:rsidRPr="0068475A" w:rsidRDefault="0068475A" w:rsidP="00F1117C">
            <w:pPr>
              <w:rPr>
                <w:bCs/>
                <w:sz w:val="18"/>
                <w:szCs w:val="18"/>
              </w:rPr>
            </w:pPr>
            <w:r w:rsidRPr="0068475A">
              <w:rPr>
                <w:b/>
                <w:bCs/>
                <w:sz w:val="18"/>
                <w:szCs w:val="18"/>
              </w:rPr>
              <w:t>Добыча полезных ископаемых (раздел С)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Добыча полезных ископаемых -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21 987,1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21 706,4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. </w:t>
            </w:r>
            <w:r>
              <w:rPr>
                <w:spacing w:val="-4"/>
                <w:sz w:val="18"/>
                <w:szCs w:val="18"/>
              </w:rPr>
              <w:lastRenderedPageBreak/>
              <w:t>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lastRenderedPageBreak/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112,1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-4,2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68475A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68475A" w:rsidRPr="0068475A" w:rsidRDefault="0068475A" w:rsidP="00F1117C">
            <w:pPr>
              <w:rPr>
                <w:bCs/>
                <w:sz w:val="18"/>
                <w:szCs w:val="18"/>
              </w:rPr>
            </w:pPr>
            <w:r w:rsidRPr="0068475A">
              <w:rPr>
                <w:b/>
                <w:bCs/>
                <w:sz w:val="18"/>
                <w:szCs w:val="18"/>
              </w:rPr>
              <w:lastRenderedPageBreak/>
              <w:t>Обрабатывающие производства (раздел D)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Обрабатывающие производства -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148 550,9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180 996,9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21,8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Агрегированный показатель, причины пересчёта приведены ниже.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-4,6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по основным видам деятельности: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Производство пищевых продуктов, включая напитки, и табака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12 617,7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11 713,7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-7,2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B2BF0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Показатель пересчитан </w:t>
            </w:r>
          </w:p>
          <w:p w:rsidR="005B2BF0" w:rsidRDefault="008F7E10" w:rsidP="00F1117C">
            <w:pPr>
              <w:rPr>
                <w:sz w:val="18"/>
                <w:szCs w:val="18"/>
              </w:rPr>
            </w:pPr>
            <w:proofErr w:type="gramStart"/>
            <w:r w:rsidRPr="00F255AE">
              <w:rPr>
                <w:sz w:val="18"/>
                <w:szCs w:val="18"/>
              </w:rPr>
              <w:t xml:space="preserve">в связи: с сокращением производства продукции </w:t>
            </w:r>
            <w:proofErr w:type="spellStart"/>
            <w:r w:rsidRPr="00F255AE">
              <w:rPr>
                <w:sz w:val="18"/>
                <w:szCs w:val="18"/>
              </w:rPr>
              <w:t>мясопереработки</w:t>
            </w:r>
            <w:proofErr w:type="spellEnd"/>
            <w:r w:rsidRPr="00F255AE">
              <w:rPr>
                <w:sz w:val="18"/>
                <w:szCs w:val="18"/>
              </w:rPr>
              <w:t xml:space="preserve"> (пожар </w:t>
            </w:r>
            <w:proofErr w:type="gramEnd"/>
          </w:p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на ОАО "Вельская птицефабрика", закрытие ОАО "</w:t>
            </w:r>
            <w:proofErr w:type="spellStart"/>
            <w:r w:rsidRPr="00F255AE">
              <w:rPr>
                <w:sz w:val="18"/>
                <w:szCs w:val="18"/>
              </w:rPr>
              <w:t>Котласская</w:t>
            </w:r>
            <w:proofErr w:type="spellEnd"/>
            <w:r w:rsidRPr="00F255AE">
              <w:rPr>
                <w:sz w:val="18"/>
                <w:szCs w:val="18"/>
              </w:rPr>
              <w:t xml:space="preserve"> птицефабрика"), снижением производства алкогольной продукции (уточнение прогнозов предприятиями-производителями).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-3,1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Обработка древесины и производство изделий </w:t>
            </w:r>
            <w:r w:rsidR="001E356C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из дерева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17 749,9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19 297,7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8,7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Увеличение абсолютного значения показателя обусловлено </w:t>
            </w:r>
            <w:r w:rsidR="00F255AE" w:rsidRPr="00F255AE">
              <w:rPr>
                <w:sz w:val="18"/>
                <w:szCs w:val="18"/>
              </w:rPr>
              <w:t>усилившимся</w:t>
            </w:r>
            <w:r w:rsidRPr="00F255AE">
              <w:rPr>
                <w:sz w:val="18"/>
                <w:szCs w:val="18"/>
              </w:rPr>
              <w:t xml:space="preserve"> влиянием инфляционной и валютной составляющей, благоприятной экспортной конъюнктурой. Производственные показатели основных предприятий отрасли останутся стабильными.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-0,5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52 066,3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72 561,5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39,4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Увеличение абсолютного значения показателя обусловлено </w:t>
            </w:r>
            <w:r w:rsidR="00F255AE" w:rsidRPr="00F255AE">
              <w:rPr>
                <w:sz w:val="18"/>
                <w:szCs w:val="18"/>
              </w:rPr>
              <w:t>усилившимся</w:t>
            </w:r>
            <w:r w:rsidRPr="00F255AE">
              <w:rPr>
                <w:sz w:val="18"/>
                <w:szCs w:val="18"/>
              </w:rPr>
              <w:t xml:space="preserve"> влиянием инфляционной и валютной составляющей, благоприятной экспортной конъюнктурой. Производственные показатели основных предприятий отрасли останутся стабильными.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Производство прочих неметаллических минеральных продуктов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3 774,0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2 957,2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-21,6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Пересчёт показателя </w:t>
            </w:r>
            <w:r w:rsidR="005B2BF0">
              <w:rPr>
                <w:sz w:val="18"/>
                <w:szCs w:val="18"/>
              </w:rPr>
              <w:br/>
            </w:r>
            <w:r w:rsidR="0068475A">
              <w:rPr>
                <w:sz w:val="18"/>
                <w:szCs w:val="18"/>
              </w:rPr>
              <w:t xml:space="preserve">в основном </w:t>
            </w:r>
            <w:r w:rsidRPr="00F255AE">
              <w:rPr>
                <w:sz w:val="18"/>
                <w:szCs w:val="18"/>
              </w:rPr>
              <w:t xml:space="preserve">обусловлен приостановкой деятельности </w:t>
            </w:r>
            <w:r w:rsidR="0068475A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ЗАО «Савинский цементный завод».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-3,3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Металлургическое </w:t>
            </w:r>
            <w:r w:rsidRPr="00F255AE">
              <w:rPr>
                <w:sz w:val="18"/>
                <w:szCs w:val="18"/>
              </w:rPr>
              <w:lastRenderedPageBreak/>
              <w:t>производство и производство готовых металлических изделий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lastRenderedPageBreak/>
              <w:t>млн. рублей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2 705,5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4 706,2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73,9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Сопряжённые </w:t>
            </w:r>
            <w:r w:rsidR="005B2BF0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lastRenderedPageBreak/>
              <w:t>с судостроением виды экономической деятельности - прогнозы варьируются в зависимости от  стадии строительства основного заказа.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lastRenderedPageBreak/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63,9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12,8</w:t>
            </w:r>
          </w:p>
        </w:tc>
        <w:tc>
          <w:tcPr>
            <w:tcW w:w="2410" w:type="dxa"/>
            <w:vMerge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Производство машин и оборудования </w:t>
            </w:r>
            <w:r w:rsidR="001E356C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(без производства оружия и боеприпасов)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2 645,0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2 074,8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-21,6</w:t>
            </w:r>
          </w:p>
        </w:tc>
        <w:tc>
          <w:tcPr>
            <w:tcW w:w="2410" w:type="dxa"/>
            <w:vMerge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-11,9</w:t>
            </w:r>
          </w:p>
        </w:tc>
        <w:tc>
          <w:tcPr>
            <w:tcW w:w="2410" w:type="dxa"/>
            <w:vMerge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2 207,7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2 006,1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-9,1</w:t>
            </w:r>
          </w:p>
        </w:tc>
        <w:tc>
          <w:tcPr>
            <w:tcW w:w="2410" w:type="dxa"/>
            <w:vMerge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-4,6</w:t>
            </w:r>
          </w:p>
        </w:tc>
        <w:tc>
          <w:tcPr>
            <w:tcW w:w="2410" w:type="dxa"/>
            <w:vMerge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Производство транспортных средств и оборудования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  <w:proofErr w:type="spellStart"/>
            <w:r w:rsidR="0068475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68475A" w:rsidP="00F111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 w:rsidR="008F7E10" w:rsidRPr="00F255A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68475A" w:rsidP="00F1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F7E10" w:rsidRPr="00F255AE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89,0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-9,5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Пересчёт показателя обусловлен </w:t>
            </w:r>
            <w:r w:rsidR="005B2BF0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не совершенством методики статистического наблюдения за данным видом экономической деятельности: 8 мес. 2014 года - 69,4%, итоги за 2014 год - 30,3%.</w:t>
            </w:r>
          </w:p>
        </w:tc>
      </w:tr>
      <w:tr w:rsidR="0068475A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68475A" w:rsidRPr="0068475A" w:rsidRDefault="0068475A" w:rsidP="00F1117C">
            <w:pPr>
              <w:rPr>
                <w:bCs/>
                <w:sz w:val="18"/>
                <w:szCs w:val="18"/>
              </w:rPr>
            </w:pPr>
            <w:r w:rsidRPr="0068475A">
              <w:rPr>
                <w:b/>
                <w:bCs/>
                <w:sz w:val="18"/>
                <w:szCs w:val="18"/>
              </w:rPr>
              <w:t>Производство и распределение электроэнергии, газа и воды (раздел Е)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34 374,9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35 155,1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2976C5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2976C5" w:rsidRPr="002976C5" w:rsidRDefault="002976C5" w:rsidP="00F1117C">
            <w:pPr>
              <w:rPr>
                <w:b/>
                <w:bCs/>
                <w:sz w:val="18"/>
                <w:szCs w:val="18"/>
              </w:rPr>
            </w:pPr>
            <w:r w:rsidRPr="002976C5">
              <w:rPr>
                <w:b/>
                <w:bCs/>
                <w:sz w:val="18"/>
                <w:szCs w:val="18"/>
              </w:rPr>
              <w:t>Рыболовство и рыбоводство, предоставление услуг в этих областях (раздел В)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Рыболовство и рыбоводство, предоставление услуг </w:t>
            </w:r>
            <w:r w:rsidR="001E356C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в этих областях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5 900,0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5 500,0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-6,8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5B2BF0" w:rsidRDefault="008F7E10" w:rsidP="00F1117C">
            <w:pPr>
              <w:rPr>
                <w:spacing w:val="-4"/>
                <w:sz w:val="18"/>
                <w:szCs w:val="18"/>
              </w:rPr>
            </w:pPr>
            <w:r w:rsidRPr="005B2BF0">
              <w:rPr>
                <w:spacing w:val="-4"/>
                <w:sz w:val="18"/>
                <w:szCs w:val="18"/>
              </w:rPr>
              <w:t>Пересчёт показателя обусловлен уточнением показателей предприятиями отрасли в связи с падением платёжеспособного спроса населения и частичной переориентацией производства с готовых продуктов на полуфабрикаты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color w:val="000000"/>
                <w:sz w:val="18"/>
                <w:szCs w:val="18"/>
              </w:rPr>
            </w:pPr>
            <w:r w:rsidRPr="00F255A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2976C5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2976C5" w:rsidRPr="002976C5" w:rsidRDefault="002976C5" w:rsidP="00F1117C">
            <w:pPr>
              <w:rPr>
                <w:bCs/>
                <w:sz w:val="18"/>
                <w:szCs w:val="18"/>
              </w:rPr>
            </w:pPr>
            <w:r w:rsidRPr="002976C5">
              <w:rPr>
                <w:b/>
                <w:bCs/>
                <w:sz w:val="18"/>
                <w:szCs w:val="18"/>
              </w:rPr>
              <w:t>Сельское хозяйство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млн.</w:t>
            </w:r>
            <w:r w:rsidR="002976C5">
              <w:rPr>
                <w:spacing w:val="-4"/>
                <w:sz w:val="18"/>
                <w:szCs w:val="18"/>
              </w:rPr>
              <w:t xml:space="preserve"> </w:t>
            </w:r>
            <w:r w:rsidRPr="0068475A">
              <w:rPr>
                <w:spacing w:val="-4"/>
                <w:sz w:val="18"/>
                <w:szCs w:val="18"/>
              </w:rPr>
              <w:t xml:space="preserve">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11 855,5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12 057,8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производства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1,1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2976C5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2976C5" w:rsidRPr="002976C5" w:rsidRDefault="002976C5" w:rsidP="00F1117C">
            <w:pPr>
              <w:rPr>
                <w:bCs/>
                <w:sz w:val="18"/>
                <w:szCs w:val="18"/>
              </w:rPr>
            </w:pPr>
            <w:r w:rsidRPr="002976C5">
              <w:rPr>
                <w:b/>
                <w:bCs/>
                <w:sz w:val="18"/>
                <w:szCs w:val="18"/>
              </w:rPr>
              <w:t>Производство важнейших видов продукции в натуральном выражении</w:t>
            </w:r>
            <w:r w:rsidRPr="00F255A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Валовой сбор картофеля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136,2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138,4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Скот и птица на убой (в </w:t>
            </w:r>
            <w:r w:rsidRPr="00F255AE">
              <w:rPr>
                <w:sz w:val="18"/>
                <w:szCs w:val="18"/>
              </w:rPr>
              <w:lastRenderedPageBreak/>
              <w:t>живом весе)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lastRenderedPageBreak/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-61,3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Показатель пересчитан</w:t>
            </w:r>
            <w:r w:rsidR="002976C5">
              <w:rPr>
                <w:sz w:val="18"/>
                <w:szCs w:val="18"/>
              </w:rPr>
              <w:t xml:space="preserve"> </w:t>
            </w:r>
            <w:r w:rsidR="002976C5">
              <w:rPr>
                <w:sz w:val="18"/>
                <w:szCs w:val="18"/>
              </w:rPr>
              <w:br/>
            </w:r>
            <w:r w:rsidR="002976C5">
              <w:rPr>
                <w:sz w:val="18"/>
                <w:szCs w:val="18"/>
              </w:rPr>
              <w:lastRenderedPageBreak/>
              <w:t>в основном</w:t>
            </w:r>
            <w:r w:rsidRPr="00F255AE">
              <w:rPr>
                <w:sz w:val="18"/>
                <w:szCs w:val="18"/>
              </w:rPr>
              <w:t xml:space="preserve"> в связи: </w:t>
            </w:r>
            <w:r w:rsidR="002976C5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с пожаром на ОАО "Вельская птицефабрика", закрытием ОАО "</w:t>
            </w:r>
            <w:proofErr w:type="spellStart"/>
            <w:r w:rsidRPr="00F255AE">
              <w:rPr>
                <w:sz w:val="18"/>
                <w:szCs w:val="18"/>
              </w:rPr>
              <w:t>Котласская</w:t>
            </w:r>
            <w:proofErr w:type="spellEnd"/>
            <w:r w:rsidRPr="00F255AE">
              <w:rPr>
                <w:sz w:val="18"/>
                <w:szCs w:val="18"/>
              </w:rPr>
              <w:t xml:space="preserve"> птицефабрика" 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lastRenderedPageBreak/>
              <w:t>Молоко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113,2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115,9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Яйца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млн. штук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154,2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-66,2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Показатель пересчитан </w:t>
            </w:r>
            <w:r w:rsidR="002976C5">
              <w:rPr>
                <w:sz w:val="18"/>
                <w:szCs w:val="18"/>
              </w:rPr>
              <w:br/>
              <w:t>в основном</w:t>
            </w:r>
            <w:r w:rsidR="002976C5" w:rsidRPr="00F255AE">
              <w:rPr>
                <w:sz w:val="18"/>
                <w:szCs w:val="18"/>
              </w:rPr>
              <w:t xml:space="preserve"> </w:t>
            </w:r>
            <w:r w:rsidRPr="00F255AE">
              <w:rPr>
                <w:sz w:val="18"/>
                <w:szCs w:val="18"/>
              </w:rPr>
              <w:t xml:space="preserve">в связи: </w:t>
            </w:r>
            <w:r w:rsidR="002976C5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с пожаром на ОАО "Вельская птицефабрика", закрытием ОАО "</w:t>
            </w:r>
            <w:proofErr w:type="spellStart"/>
            <w:r w:rsidRPr="00F255AE">
              <w:rPr>
                <w:sz w:val="18"/>
                <w:szCs w:val="18"/>
              </w:rPr>
              <w:t>Котласская</w:t>
            </w:r>
            <w:proofErr w:type="spellEnd"/>
            <w:r w:rsidRPr="00F255AE">
              <w:rPr>
                <w:sz w:val="18"/>
                <w:szCs w:val="18"/>
              </w:rPr>
              <w:t xml:space="preserve"> птицефабрика" 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Мясо и субпродукты пищевые -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-61,6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Показатель пересчитан </w:t>
            </w:r>
            <w:r w:rsidR="002976C5">
              <w:rPr>
                <w:sz w:val="18"/>
                <w:szCs w:val="18"/>
              </w:rPr>
              <w:br/>
              <w:t>в основном</w:t>
            </w:r>
            <w:r w:rsidR="002976C5" w:rsidRPr="00F255AE">
              <w:rPr>
                <w:sz w:val="18"/>
                <w:szCs w:val="18"/>
              </w:rPr>
              <w:t xml:space="preserve"> </w:t>
            </w:r>
            <w:r w:rsidRPr="00F255AE">
              <w:rPr>
                <w:sz w:val="18"/>
                <w:szCs w:val="18"/>
              </w:rPr>
              <w:t>в связи:</w:t>
            </w:r>
            <w:r w:rsidR="002976C5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с пожаром на ОАО "Вельская птицефабрика", закрытием ОАО "</w:t>
            </w:r>
            <w:proofErr w:type="spellStart"/>
            <w:r w:rsidRPr="00F255AE">
              <w:rPr>
                <w:sz w:val="18"/>
                <w:szCs w:val="18"/>
              </w:rPr>
              <w:t>Котласская</w:t>
            </w:r>
            <w:proofErr w:type="spellEnd"/>
            <w:r w:rsidRPr="00F255AE">
              <w:rPr>
                <w:sz w:val="18"/>
                <w:szCs w:val="18"/>
              </w:rPr>
              <w:t xml:space="preserve"> птицефабрика" 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bottom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Цельномолочная продукция (в пересчете на молоко)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62,2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63,8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bottom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Рыба и продукты рыбные переработанные и консервированные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7F1F7B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7F1F7B" w:rsidRPr="00F255AE" w:rsidRDefault="007F1F7B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Водка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1F7B" w:rsidRPr="0068475A" w:rsidRDefault="007F1F7B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тыс. </w:t>
            </w:r>
            <w:proofErr w:type="spellStart"/>
            <w:r w:rsidRPr="0068475A">
              <w:rPr>
                <w:spacing w:val="-4"/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F1F7B" w:rsidRPr="00F255AE" w:rsidRDefault="007F1F7B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1F7B" w:rsidRPr="007F1F7B" w:rsidRDefault="007F1F7B" w:rsidP="00F1117C">
            <w:pPr>
              <w:jc w:val="center"/>
              <w:rPr>
                <w:sz w:val="18"/>
                <w:szCs w:val="18"/>
              </w:rPr>
            </w:pPr>
            <w:r w:rsidRPr="007F1F7B">
              <w:rPr>
                <w:sz w:val="18"/>
                <w:szCs w:val="18"/>
              </w:rPr>
              <w:t>789,0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1F7B" w:rsidRPr="007F1F7B" w:rsidRDefault="007F1F7B" w:rsidP="00F1117C">
            <w:pPr>
              <w:jc w:val="center"/>
              <w:rPr>
                <w:sz w:val="18"/>
                <w:szCs w:val="18"/>
              </w:rPr>
            </w:pPr>
            <w:r w:rsidRPr="007F1F7B">
              <w:rPr>
                <w:sz w:val="18"/>
                <w:szCs w:val="18"/>
              </w:rPr>
              <w:t>-21,1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F1F7B" w:rsidRPr="00F255AE" w:rsidRDefault="007F1F7B" w:rsidP="000D25C3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Показатель пересчитан </w:t>
            </w:r>
            <w:r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в связи</w:t>
            </w:r>
            <w:r w:rsidR="000D25C3">
              <w:rPr>
                <w:sz w:val="18"/>
                <w:szCs w:val="18"/>
              </w:rPr>
              <w:t xml:space="preserve"> </w:t>
            </w:r>
            <w:r w:rsidRPr="00F255AE">
              <w:rPr>
                <w:sz w:val="18"/>
                <w:szCs w:val="18"/>
              </w:rPr>
              <w:t>со снижением производства алкогольной продукции (уточнение прогнозов предприятиями-производителями).</w:t>
            </w:r>
          </w:p>
        </w:tc>
      </w:tr>
      <w:tr w:rsidR="000D25C3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0D25C3" w:rsidRPr="00F255AE" w:rsidRDefault="000D25C3" w:rsidP="001E356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Ликероводочные изделия </w:t>
            </w:r>
            <w:r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 xml:space="preserve">с содержанием спирта </w:t>
            </w:r>
            <w:r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 xml:space="preserve">до 25 процентов включительно от объема готовой продукции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25C3" w:rsidRPr="0068475A" w:rsidRDefault="000D25C3" w:rsidP="000D25C3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тыс. </w:t>
            </w:r>
            <w:proofErr w:type="spellStart"/>
            <w:r w:rsidRPr="0068475A">
              <w:rPr>
                <w:spacing w:val="-4"/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D25C3" w:rsidRPr="00F255AE" w:rsidRDefault="000D25C3" w:rsidP="000D25C3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5C3" w:rsidRPr="000D25C3" w:rsidRDefault="000D25C3" w:rsidP="000D25C3">
            <w:pPr>
              <w:jc w:val="center"/>
              <w:rPr>
                <w:sz w:val="18"/>
                <w:szCs w:val="18"/>
              </w:rPr>
            </w:pPr>
            <w:r w:rsidRPr="000D25C3">
              <w:rPr>
                <w:sz w:val="18"/>
                <w:szCs w:val="18"/>
              </w:rPr>
              <w:t>231,0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25C3" w:rsidRPr="000D25C3" w:rsidRDefault="000D25C3" w:rsidP="000D25C3">
            <w:pPr>
              <w:jc w:val="center"/>
              <w:rPr>
                <w:sz w:val="18"/>
                <w:szCs w:val="18"/>
              </w:rPr>
            </w:pPr>
            <w:r w:rsidRPr="000D25C3">
              <w:rPr>
                <w:sz w:val="18"/>
                <w:szCs w:val="18"/>
              </w:rPr>
              <w:t>94,1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D25C3" w:rsidRPr="00F255AE" w:rsidRDefault="000D25C3" w:rsidP="000D25C3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Показатель пересчитан </w:t>
            </w:r>
            <w:r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в связи</w:t>
            </w:r>
            <w:r>
              <w:rPr>
                <w:sz w:val="18"/>
                <w:szCs w:val="18"/>
              </w:rPr>
              <w:t xml:space="preserve"> с и</w:t>
            </w:r>
            <w:r w:rsidRPr="000D25C3">
              <w:rPr>
                <w:sz w:val="18"/>
                <w:szCs w:val="18"/>
              </w:rPr>
              <w:t>зменение</w:t>
            </w:r>
            <w:r>
              <w:rPr>
                <w:sz w:val="18"/>
                <w:szCs w:val="18"/>
              </w:rPr>
              <w:t>м</w:t>
            </w:r>
            <w:r w:rsidRPr="000D25C3">
              <w:rPr>
                <w:sz w:val="18"/>
                <w:szCs w:val="18"/>
              </w:rPr>
              <w:t xml:space="preserve"> ассортимента вследствие конъюнктурных и </w:t>
            </w:r>
            <w:proofErr w:type="spellStart"/>
            <w:r w:rsidRPr="000D25C3">
              <w:rPr>
                <w:sz w:val="18"/>
                <w:szCs w:val="18"/>
              </w:rPr>
              <w:t>спросовых</w:t>
            </w:r>
            <w:proofErr w:type="spellEnd"/>
            <w:r w:rsidRPr="000D25C3">
              <w:rPr>
                <w:sz w:val="18"/>
                <w:szCs w:val="18"/>
              </w:rPr>
              <w:t xml:space="preserve"> изменений и предпочтений потребителей</w:t>
            </w:r>
            <w:r>
              <w:rPr>
                <w:sz w:val="18"/>
                <w:szCs w:val="18"/>
              </w:rPr>
              <w:t>.</w:t>
            </w:r>
          </w:p>
        </w:tc>
      </w:tr>
      <w:tr w:rsidR="000D25C3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0D25C3" w:rsidRPr="00F255AE" w:rsidRDefault="000D25C3" w:rsidP="000D25C3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Ликероводочные изделия</w:t>
            </w:r>
            <w:r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 xml:space="preserve">с содержанием спирта свыше 25 процентов включительно от объема готовой продукции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25C3" w:rsidRPr="0068475A" w:rsidRDefault="000D25C3" w:rsidP="000D25C3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тыс. </w:t>
            </w:r>
            <w:proofErr w:type="spellStart"/>
            <w:r w:rsidRPr="0068475A">
              <w:rPr>
                <w:spacing w:val="-4"/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D25C3" w:rsidRPr="00F255AE" w:rsidRDefault="000D25C3" w:rsidP="000D25C3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25C3" w:rsidRPr="000D25C3" w:rsidRDefault="000D25C3" w:rsidP="000D25C3">
            <w:pPr>
              <w:jc w:val="center"/>
              <w:rPr>
                <w:sz w:val="18"/>
                <w:szCs w:val="18"/>
              </w:rPr>
            </w:pPr>
            <w:r w:rsidRPr="000D25C3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25C3" w:rsidRPr="000D25C3" w:rsidRDefault="000D25C3" w:rsidP="000D25C3">
            <w:pPr>
              <w:jc w:val="center"/>
              <w:rPr>
                <w:sz w:val="18"/>
                <w:szCs w:val="18"/>
              </w:rPr>
            </w:pPr>
            <w:r w:rsidRPr="000D25C3">
              <w:rPr>
                <w:sz w:val="18"/>
                <w:szCs w:val="18"/>
              </w:rPr>
              <w:t>22,1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D25C3" w:rsidRPr="00F255AE" w:rsidRDefault="000D25C3" w:rsidP="000D25C3">
            <w:pPr>
              <w:rPr>
                <w:sz w:val="18"/>
                <w:szCs w:val="18"/>
              </w:rPr>
            </w:pP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proofErr w:type="gramStart"/>
            <w:r w:rsidRPr="00F255AE">
              <w:rPr>
                <w:sz w:val="18"/>
                <w:szCs w:val="18"/>
              </w:rPr>
              <w:t xml:space="preserve">Пиво, кроме отходов пивоварения (включая напитки, изготовляемые </w:t>
            </w:r>
            <w:r w:rsidR="00F1117C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 xml:space="preserve">на основе пива (пивные напитки) 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тыс. </w:t>
            </w:r>
            <w:proofErr w:type="spellStart"/>
            <w:r w:rsidRPr="0068475A">
              <w:rPr>
                <w:spacing w:val="-4"/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66,3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Показатель уточнён </w:t>
            </w:r>
            <w:r w:rsidR="005B2BF0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на основании фактических данных за 2014 год и оценки 2015 года</w:t>
            </w:r>
          </w:p>
        </w:tc>
      </w:tr>
      <w:tr w:rsidR="002976C5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2976C5" w:rsidRPr="00F255AE" w:rsidRDefault="002976C5" w:rsidP="00F1117C">
            <w:pPr>
              <w:rPr>
                <w:sz w:val="18"/>
                <w:szCs w:val="18"/>
              </w:rPr>
            </w:pPr>
            <w:r w:rsidRPr="002976C5">
              <w:rPr>
                <w:b/>
                <w:bCs/>
                <w:sz w:val="18"/>
                <w:szCs w:val="18"/>
              </w:rPr>
              <w:t>Добыча общераспространённых полезных ископаемых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Гипс (камень гипсовый)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Песок, песчано-гравийная смесь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4 200,0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Граниты, базальты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650,0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2976C5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2976C5" w:rsidRPr="002976C5" w:rsidRDefault="002976C5" w:rsidP="00F1117C">
            <w:pPr>
              <w:rPr>
                <w:b/>
                <w:bCs/>
                <w:sz w:val="18"/>
                <w:szCs w:val="18"/>
              </w:rPr>
            </w:pPr>
            <w:r w:rsidRPr="002976C5">
              <w:rPr>
                <w:b/>
                <w:bCs/>
                <w:sz w:val="18"/>
                <w:szCs w:val="18"/>
              </w:rPr>
              <w:t>Добыча прочих полезных ископаемых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Известняки для цементной промышленности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-100,0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117C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Пересчёт показателя обусловлен приостановкой деятельности </w:t>
            </w:r>
          </w:p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ЗАО «Савинский цементный завод» - основного потребителя данного вида продукции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Глины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750,0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Показатель пересчитан добывающими предприятиями в связи </w:t>
            </w:r>
            <w:r w:rsidR="005B2BF0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 xml:space="preserve">с переориентацией производственной </w:t>
            </w:r>
            <w:r w:rsidRPr="00F255AE">
              <w:rPr>
                <w:sz w:val="18"/>
                <w:szCs w:val="18"/>
              </w:rPr>
              <w:lastRenderedPageBreak/>
              <w:t xml:space="preserve">программы </w:t>
            </w:r>
            <w:proofErr w:type="gramStart"/>
            <w:r w:rsidRPr="00F255AE">
              <w:rPr>
                <w:sz w:val="18"/>
                <w:szCs w:val="18"/>
              </w:rPr>
              <w:t>из-за</w:t>
            </w:r>
            <w:proofErr w:type="gramEnd"/>
            <w:r w:rsidRPr="00F255AE">
              <w:rPr>
                <w:sz w:val="18"/>
                <w:szCs w:val="18"/>
              </w:rPr>
              <w:t xml:space="preserve"> </w:t>
            </w:r>
            <w:proofErr w:type="gramStart"/>
            <w:r w:rsidRPr="00F255AE">
              <w:rPr>
                <w:sz w:val="18"/>
                <w:szCs w:val="18"/>
              </w:rPr>
              <w:t>смена</w:t>
            </w:r>
            <w:proofErr w:type="gramEnd"/>
            <w:r w:rsidRPr="00F255AE">
              <w:rPr>
                <w:sz w:val="18"/>
                <w:szCs w:val="18"/>
              </w:rPr>
              <w:t xml:space="preserve"> круга потребителей 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Известняки для целлюлозно-бумажной промышленности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225,0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80,0</w:t>
            </w:r>
          </w:p>
        </w:tc>
        <w:tc>
          <w:tcPr>
            <w:tcW w:w="2410" w:type="dxa"/>
            <w:vMerge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lastRenderedPageBreak/>
              <w:t>Заготовка ликвидной древесины на арендуемых лесных участках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плот</w:t>
            </w:r>
            <w:proofErr w:type="gramStart"/>
            <w:r w:rsidRPr="0068475A">
              <w:rPr>
                <w:spacing w:val="-4"/>
                <w:sz w:val="18"/>
                <w:szCs w:val="18"/>
              </w:rPr>
              <w:t>.</w:t>
            </w:r>
            <w:proofErr w:type="gramEnd"/>
            <w:r w:rsidRPr="0068475A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68475A">
              <w:rPr>
                <w:spacing w:val="-4"/>
                <w:sz w:val="18"/>
                <w:szCs w:val="18"/>
              </w:rPr>
              <w:t>к</w:t>
            </w:r>
            <w:proofErr w:type="gramEnd"/>
            <w:r w:rsidRPr="0068475A">
              <w:rPr>
                <w:spacing w:val="-4"/>
                <w:sz w:val="18"/>
                <w:szCs w:val="18"/>
              </w:rPr>
              <w:t>уб. м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9 900,0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9 900,0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Пиломатериалы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куб. м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1 800,0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1 650,0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-8,3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C51C48" w:rsidP="00F11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пересчитан </w:t>
            </w:r>
            <w:r w:rsidR="005B2BF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в связи </w:t>
            </w:r>
            <w:r w:rsidR="008F7E10" w:rsidRPr="00F255AE">
              <w:rPr>
                <w:sz w:val="18"/>
                <w:szCs w:val="18"/>
              </w:rPr>
              <w:t>с корректировкой прогнозных планов основных предприятий отрасли.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Фанера клееная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куб. м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-3,6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Целлюлоза (товарная)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8,8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C51C48" w:rsidP="00F11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пересчитан </w:t>
            </w:r>
            <w:r w:rsidR="005B2BF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в связи </w:t>
            </w:r>
            <w:r w:rsidR="008F7E10" w:rsidRPr="00F255AE">
              <w:rPr>
                <w:sz w:val="18"/>
                <w:szCs w:val="18"/>
              </w:rPr>
              <w:t>с корректировкой прогнозных планов основных предприятий отрасли.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Бумага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582,0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555,8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-4,5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Картон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967,0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960,6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-0,7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Портландцемент, цемент глиноземистого, цемента шлакового и аналогичных цементов гидравлических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-100,0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1117C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Пересчёт показателя обусловлен приостановкой деятельности </w:t>
            </w:r>
          </w:p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З</w:t>
            </w:r>
            <w:r w:rsidR="00C51C48">
              <w:rPr>
                <w:sz w:val="18"/>
                <w:szCs w:val="18"/>
              </w:rPr>
              <w:t>АО «Савинский цементный завод»</w:t>
            </w:r>
          </w:p>
        </w:tc>
      </w:tr>
      <w:tr w:rsidR="00C51C48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C51C48" w:rsidRPr="00F255AE" w:rsidRDefault="00C51C48" w:rsidP="00F1117C">
            <w:pPr>
              <w:rPr>
                <w:sz w:val="18"/>
                <w:szCs w:val="18"/>
              </w:rPr>
            </w:pPr>
            <w:r w:rsidRPr="00C51C48">
              <w:rPr>
                <w:b/>
                <w:bCs/>
                <w:sz w:val="18"/>
                <w:szCs w:val="18"/>
              </w:rPr>
              <w:t>Строительство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кв. м общей площади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309,7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309,7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C51C48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C51C48" w:rsidRPr="00C51C48" w:rsidRDefault="00C51C48" w:rsidP="00F1117C">
            <w:pPr>
              <w:rPr>
                <w:bCs/>
                <w:sz w:val="18"/>
                <w:szCs w:val="18"/>
              </w:rPr>
            </w:pPr>
            <w:r w:rsidRPr="00C51C48">
              <w:rPr>
                <w:b/>
                <w:bCs/>
                <w:sz w:val="18"/>
                <w:szCs w:val="18"/>
              </w:rPr>
              <w:t>Рынок товаров и услуг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Индекс потребительских цен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декабрь к декабрю </w:t>
            </w:r>
            <w:proofErr w:type="spellStart"/>
            <w:r w:rsidRPr="0068475A"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 w:rsidR="001105F4">
              <w:rPr>
                <w:spacing w:val="-4"/>
                <w:sz w:val="18"/>
                <w:szCs w:val="18"/>
              </w:rPr>
              <w:t>.</w:t>
            </w:r>
            <w:r w:rsidRPr="0068475A">
              <w:rPr>
                <w:spacing w:val="-4"/>
                <w:sz w:val="18"/>
                <w:szCs w:val="18"/>
              </w:rPr>
              <w:t xml:space="preserve"> года, </w:t>
            </w:r>
            <w:r w:rsidR="001105F4">
              <w:rPr>
                <w:spacing w:val="-4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2,4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Индекс потребительских цен (среднегодовой)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к </w:t>
            </w:r>
            <w:proofErr w:type="spellStart"/>
            <w:r w:rsidRPr="0068475A">
              <w:rPr>
                <w:spacing w:val="-4"/>
                <w:sz w:val="18"/>
                <w:szCs w:val="18"/>
              </w:rPr>
              <w:t>соответств</w:t>
            </w:r>
            <w:proofErr w:type="gramStart"/>
            <w:r w:rsidR="001105F4">
              <w:rPr>
                <w:spacing w:val="-4"/>
                <w:sz w:val="18"/>
                <w:szCs w:val="18"/>
              </w:rPr>
              <w:t>.</w:t>
            </w:r>
            <w:r w:rsidRPr="0068475A">
              <w:rPr>
                <w:spacing w:val="-4"/>
                <w:sz w:val="18"/>
                <w:szCs w:val="18"/>
              </w:rPr>
              <w:t>п</w:t>
            </w:r>
            <w:proofErr w:type="gramEnd"/>
            <w:r w:rsidRPr="0068475A">
              <w:rPr>
                <w:spacing w:val="-4"/>
                <w:sz w:val="18"/>
                <w:szCs w:val="18"/>
              </w:rPr>
              <w:t>ериоду</w:t>
            </w:r>
            <w:proofErr w:type="spellEnd"/>
            <w:r w:rsidRPr="0068475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="001105F4"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 w:rsidR="001105F4">
              <w:rPr>
                <w:spacing w:val="-4"/>
                <w:sz w:val="18"/>
                <w:szCs w:val="18"/>
              </w:rPr>
              <w:t>.</w:t>
            </w:r>
            <w:r w:rsidRPr="0068475A">
              <w:rPr>
                <w:spacing w:val="-4"/>
                <w:sz w:val="18"/>
                <w:szCs w:val="18"/>
              </w:rPr>
              <w:t xml:space="preserve"> года, </w:t>
            </w:r>
            <w:r w:rsidR="001105F4">
              <w:rPr>
                <w:spacing w:val="-4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2,2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млн. рублей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241 005,4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241 079,8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физического объёма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%</w:t>
            </w:r>
            <w:r w:rsidR="008F7E10" w:rsidRPr="0068475A">
              <w:rPr>
                <w:spacing w:val="-4"/>
                <w:sz w:val="18"/>
                <w:szCs w:val="18"/>
              </w:rPr>
              <w:t xml:space="preserve"> к </w:t>
            </w:r>
            <w:proofErr w:type="spellStart"/>
            <w:r w:rsidR="008F7E10" w:rsidRPr="0068475A"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</w:t>
            </w:r>
            <w:r w:rsidR="008F7E10" w:rsidRPr="0068475A">
              <w:rPr>
                <w:spacing w:val="-4"/>
                <w:sz w:val="18"/>
                <w:szCs w:val="18"/>
              </w:rPr>
              <w:t xml:space="preserve"> году в </w:t>
            </w:r>
            <w:proofErr w:type="spellStart"/>
            <w:r w:rsidR="008F7E10" w:rsidRPr="0068475A">
              <w:rPr>
                <w:spacing w:val="-4"/>
                <w:sz w:val="18"/>
                <w:szCs w:val="18"/>
              </w:rPr>
              <w:t>сопост</w:t>
            </w:r>
            <w:proofErr w:type="spellEnd"/>
            <w:r>
              <w:rPr>
                <w:spacing w:val="-4"/>
                <w:sz w:val="18"/>
                <w:szCs w:val="18"/>
              </w:rPr>
              <w:t>.</w:t>
            </w:r>
            <w:r w:rsidR="008F7E10" w:rsidRPr="0068475A">
              <w:rPr>
                <w:spacing w:val="-4"/>
                <w:sz w:val="18"/>
                <w:szCs w:val="18"/>
              </w:rPr>
              <w:t xml:space="preserve"> ценах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-2,8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10 729,6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11 792,6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9,9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Увеличение абсолютного значения показателя обусловлено </w:t>
            </w:r>
            <w:r w:rsidR="00F255AE" w:rsidRPr="00F255AE">
              <w:rPr>
                <w:sz w:val="18"/>
                <w:szCs w:val="18"/>
              </w:rPr>
              <w:t>усилившимся</w:t>
            </w:r>
            <w:r w:rsidRPr="00F255AE">
              <w:rPr>
                <w:sz w:val="18"/>
                <w:szCs w:val="18"/>
              </w:rPr>
              <w:t xml:space="preserve"> влиянием инфляционной составляющей.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физического объёма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%</w:t>
            </w:r>
            <w:r w:rsidRPr="0068475A">
              <w:rPr>
                <w:spacing w:val="-4"/>
                <w:sz w:val="18"/>
                <w:szCs w:val="18"/>
              </w:rPr>
              <w:t xml:space="preserve"> к </w:t>
            </w:r>
            <w:proofErr w:type="spellStart"/>
            <w:r w:rsidRPr="0068475A"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</w:t>
            </w:r>
            <w:r w:rsidRPr="0068475A">
              <w:rPr>
                <w:spacing w:val="-4"/>
                <w:sz w:val="18"/>
                <w:szCs w:val="18"/>
              </w:rPr>
              <w:t xml:space="preserve"> году в </w:t>
            </w:r>
            <w:proofErr w:type="spellStart"/>
            <w:r w:rsidRPr="0068475A">
              <w:rPr>
                <w:spacing w:val="-4"/>
                <w:sz w:val="18"/>
                <w:szCs w:val="18"/>
              </w:rPr>
              <w:t>сопост</w:t>
            </w:r>
            <w:proofErr w:type="spellEnd"/>
            <w:r>
              <w:rPr>
                <w:spacing w:val="-4"/>
                <w:sz w:val="18"/>
                <w:szCs w:val="18"/>
              </w:rPr>
              <w:t>.</w:t>
            </w:r>
            <w:r w:rsidRPr="0068475A">
              <w:rPr>
                <w:spacing w:val="-4"/>
                <w:sz w:val="18"/>
                <w:szCs w:val="18"/>
              </w:rPr>
              <w:t xml:space="preserve"> ценах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-2,7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Объем платных услуг населению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73 128,9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68 869,2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-5,8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Пересчёт показателя обусловлен снижением платёжеспособного спроса населения, в том числе снижением реальных доходов населения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индекс физического объёма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%</w:t>
            </w:r>
            <w:r w:rsidRPr="0068475A">
              <w:rPr>
                <w:spacing w:val="-4"/>
                <w:sz w:val="18"/>
                <w:szCs w:val="18"/>
              </w:rPr>
              <w:t xml:space="preserve"> к </w:t>
            </w:r>
            <w:proofErr w:type="spellStart"/>
            <w:r w:rsidRPr="0068475A"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</w:t>
            </w:r>
            <w:r w:rsidRPr="0068475A">
              <w:rPr>
                <w:spacing w:val="-4"/>
                <w:sz w:val="18"/>
                <w:szCs w:val="18"/>
              </w:rPr>
              <w:t xml:space="preserve"> году в </w:t>
            </w:r>
            <w:proofErr w:type="spellStart"/>
            <w:r w:rsidRPr="0068475A">
              <w:rPr>
                <w:spacing w:val="-4"/>
                <w:sz w:val="18"/>
                <w:szCs w:val="18"/>
              </w:rPr>
              <w:lastRenderedPageBreak/>
              <w:t>сопост</w:t>
            </w:r>
            <w:proofErr w:type="spellEnd"/>
            <w:r>
              <w:rPr>
                <w:spacing w:val="-4"/>
                <w:sz w:val="18"/>
                <w:szCs w:val="18"/>
              </w:rPr>
              <w:t>.</w:t>
            </w:r>
            <w:r w:rsidRPr="0068475A">
              <w:rPr>
                <w:spacing w:val="-4"/>
                <w:sz w:val="18"/>
                <w:szCs w:val="18"/>
              </w:rPr>
              <w:t xml:space="preserve"> ценах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lastRenderedPageBreak/>
              <w:t>102,4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C51C48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C51C48" w:rsidRPr="00C51C48" w:rsidRDefault="00C51C48" w:rsidP="00F1117C">
            <w:pPr>
              <w:rPr>
                <w:b/>
                <w:bCs/>
                <w:sz w:val="18"/>
                <w:szCs w:val="18"/>
              </w:rPr>
            </w:pPr>
            <w:r w:rsidRPr="00C51C48">
              <w:rPr>
                <w:b/>
                <w:bCs/>
                <w:sz w:val="18"/>
                <w:szCs w:val="18"/>
              </w:rPr>
              <w:lastRenderedPageBreak/>
              <w:t>Малое и среднее предпринимательство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Число малых и средних предприятий, включая </w:t>
            </w:r>
            <w:proofErr w:type="spellStart"/>
            <w:r w:rsidRPr="00F255AE">
              <w:rPr>
                <w:sz w:val="18"/>
                <w:szCs w:val="18"/>
              </w:rPr>
              <w:t>микропредприятия</w:t>
            </w:r>
            <w:proofErr w:type="spellEnd"/>
            <w:r w:rsidRPr="00F255AE">
              <w:rPr>
                <w:sz w:val="18"/>
                <w:szCs w:val="18"/>
              </w:rPr>
              <w:t xml:space="preserve"> </w:t>
            </w:r>
            <w:r w:rsidR="005B2BF0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(на конец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единиц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18 200,0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14 788,0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-18,7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5B2BF0" w:rsidRDefault="008F7E10" w:rsidP="00F1117C">
            <w:pPr>
              <w:rPr>
                <w:spacing w:val="-4"/>
                <w:sz w:val="18"/>
                <w:szCs w:val="18"/>
              </w:rPr>
            </w:pPr>
            <w:r w:rsidRPr="005B2BF0">
              <w:rPr>
                <w:spacing w:val="-4"/>
                <w:sz w:val="18"/>
                <w:szCs w:val="18"/>
              </w:rPr>
              <w:t xml:space="preserve">Снижение количества СМСП (без ИП) обусловлено прогнозируемым снижением числа </w:t>
            </w:r>
            <w:proofErr w:type="spellStart"/>
            <w:r w:rsidRPr="005B2BF0">
              <w:rPr>
                <w:spacing w:val="-4"/>
                <w:sz w:val="18"/>
                <w:szCs w:val="18"/>
              </w:rPr>
              <w:t>микропредприятий</w:t>
            </w:r>
            <w:proofErr w:type="spellEnd"/>
            <w:r w:rsidRPr="005B2BF0">
              <w:rPr>
                <w:spacing w:val="-4"/>
                <w:sz w:val="18"/>
                <w:szCs w:val="18"/>
              </w:rPr>
              <w:t>.</w:t>
            </w:r>
            <w:r w:rsidR="00C51C48" w:rsidRPr="005B2BF0">
              <w:rPr>
                <w:spacing w:val="-4"/>
                <w:sz w:val="18"/>
                <w:szCs w:val="18"/>
              </w:rPr>
              <w:t xml:space="preserve"> Создание и ликвидация</w:t>
            </w:r>
            <w:r w:rsidRPr="005B2BF0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B2BF0">
              <w:rPr>
                <w:spacing w:val="-4"/>
                <w:sz w:val="18"/>
                <w:szCs w:val="18"/>
              </w:rPr>
              <w:t>микропредприятий</w:t>
            </w:r>
            <w:proofErr w:type="spellEnd"/>
            <w:r w:rsidRPr="005B2BF0">
              <w:rPr>
                <w:spacing w:val="-4"/>
                <w:sz w:val="18"/>
                <w:szCs w:val="18"/>
              </w:rPr>
              <w:t xml:space="preserve"> является индикатором благоприятного инвестиционного и делового климата. В связи с прогнозируемым снижением потребительского спроса и повышением цен на </w:t>
            </w:r>
            <w:r w:rsidR="00C51C48" w:rsidRPr="005B2BF0">
              <w:rPr>
                <w:spacing w:val="-4"/>
                <w:sz w:val="18"/>
                <w:szCs w:val="18"/>
              </w:rPr>
              <w:t xml:space="preserve">финансовые </w:t>
            </w:r>
            <w:r w:rsidRPr="005B2BF0">
              <w:rPr>
                <w:spacing w:val="-4"/>
                <w:sz w:val="18"/>
                <w:szCs w:val="18"/>
              </w:rPr>
              <w:t xml:space="preserve">ресурсы прогнозируется сокращение количества </w:t>
            </w:r>
            <w:proofErr w:type="spellStart"/>
            <w:r w:rsidRPr="005B2BF0">
              <w:rPr>
                <w:spacing w:val="-4"/>
                <w:sz w:val="18"/>
                <w:szCs w:val="18"/>
              </w:rPr>
              <w:t>микропредприятий</w:t>
            </w:r>
            <w:proofErr w:type="spellEnd"/>
            <w:r w:rsidRPr="005B2BF0">
              <w:rPr>
                <w:spacing w:val="-4"/>
                <w:sz w:val="18"/>
                <w:szCs w:val="18"/>
              </w:rPr>
              <w:t xml:space="preserve"> за счет того, что функционировать на рынке останутся лишь реально осуществляющие предпринимательскую деятельность юридические лица</w:t>
            </w:r>
            <w:r w:rsidR="00C51C48" w:rsidRPr="005B2BF0">
              <w:rPr>
                <w:spacing w:val="-4"/>
                <w:sz w:val="18"/>
                <w:szCs w:val="18"/>
              </w:rPr>
              <w:t>. Кроме этого пересчёт обусловлен фактическими данными за 2014 год и оценкой 2015 года.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Среднесписочная численность работников (без внешних совместителей) малых и средних предприятий, включая </w:t>
            </w:r>
            <w:proofErr w:type="spellStart"/>
            <w:r w:rsidRPr="00F255AE">
              <w:rPr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F255AE">
              <w:rPr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176 950,0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187 200,0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5,8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Пересчёт показателя обусловлен </w:t>
            </w:r>
            <w:r w:rsidR="00F255AE" w:rsidRPr="00F255AE">
              <w:rPr>
                <w:sz w:val="18"/>
                <w:szCs w:val="18"/>
              </w:rPr>
              <w:t>усилением</w:t>
            </w:r>
            <w:r w:rsidRPr="00F255AE">
              <w:rPr>
                <w:sz w:val="18"/>
                <w:szCs w:val="18"/>
              </w:rPr>
              <w:t xml:space="preserve"> инфляционной </w:t>
            </w:r>
            <w:r w:rsidR="00F255AE" w:rsidRPr="00F255AE">
              <w:rPr>
                <w:sz w:val="18"/>
                <w:szCs w:val="18"/>
              </w:rPr>
              <w:t>составляющей</w:t>
            </w:r>
            <w:r w:rsidR="00C51C48">
              <w:rPr>
                <w:sz w:val="18"/>
                <w:szCs w:val="18"/>
              </w:rPr>
              <w:t xml:space="preserve">, поскольку </w:t>
            </w:r>
            <w:r w:rsidR="00C51C48">
              <w:rPr>
                <w:sz w:val="18"/>
                <w:szCs w:val="18"/>
              </w:rPr>
              <w:br/>
            </w:r>
            <w:r w:rsidR="00C51C48" w:rsidRPr="00C51C48">
              <w:rPr>
                <w:sz w:val="18"/>
                <w:szCs w:val="18"/>
              </w:rPr>
              <w:t>в существующей структуре малого и среднего бизнеса Архангельской области доминирующее место принадлежит торговому сектору</w:t>
            </w:r>
          </w:p>
        </w:tc>
      </w:tr>
      <w:tr w:rsidR="00C51C48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C51C48" w:rsidRPr="00C51C48" w:rsidRDefault="00C51C48" w:rsidP="00F1117C">
            <w:pPr>
              <w:rPr>
                <w:b/>
                <w:bCs/>
                <w:sz w:val="18"/>
                <w:szCs w:val="18"/>
              </w:rPr>
            </w:pPr>
            <w:r w:rsidRPr="00C51C48">
              <w:rPr>
                <w:b/>
                <w:bCs/>
                <w:sz w:val="18"/>
                <w:szCs w:val="18"/>
              </w:rPr>
              <w:t>Инвестиции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Объем инвестиций </w:t>
            </w:r>
            <w:r w:rsidR="001E356C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 xml:space="preserve">(в основной капитал) </w:t>
            </w:r>
            <w:r w:rsidR="001E356C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за счет всех источников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 xml:space="preserve">млн. 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57 568,1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49 123,2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-14,7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Показатель скорректирован на основе уточнённых данным по инвестиционным проектам организаций, государственных программ Российской Федерации и Архангельской области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94,7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87,4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-7,3</w:t>
            </w:r>
          </w:p>
        </w:tc>
        <w:tc>
          <w:tcPr>
            <w:tcW w:w="2410" w:type="dxa"/>
            <w:vMerge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</w:p>
        </w:tc>
      </w:tr>
      <w:tr w:rsidR="00C51C48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C51C48" w:rsidRPr="00C51C48" w:rsidRDefault="00C51C48" w:rsidP="00F1117C">
            <w:pPr>
              <w:rPr>
                <w:b/>
                <w:bCs/>
                <w:sz w:val="18"/>
                <w:szCs w:val="18"/>
              </w:rPr>
            </w:pPr>
            <w:r w:rsidRPr="00C51C48">
              <w:rPr>
                <w:b/>
                <w:bCs/>
                <w:sz w:val="18"/>
                <w:szCs w:val="18"/>
              </w:rPr>
              <w:t>Финансы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Прибыль прибыльных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млн.</w:t>
            </w:r>
            <w:r w:rsidR="00F255AE" w:rsidRPr="0068475A">
              <w:rPr>
                <w:spacing w:val="-4"/>
                <w:sz w:val="18"/>
                <w:szCs w:val="18"/>
              </w:rPr>
              <w:t xml:space="preserve"> </w:t>
            </w:r>
            <w:r w:rsidRPr="0068475A">
              <w:rPr>
                <w:spacing w:val="-4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35 565,5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7F1F7B" w:rsidP="00F1117C">
            <w:pPr>
              <w:jc w:val="center"/>
              <w:rPr>
                <w:sz w:val="18"/>
                <w:szCs w:val="18"/>
              </w:rPr>
            </w:pPr>
            <w:r w:rsidRPr="007F1F7B">
              <w:rPr>
                <w:sz w:val="18"/>
                <w:szCs w:val="18"/>
              </w:rPr>
              <w:t>58 626,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7F1F7B" w:rsidP="00F1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Пересчёт показателя обусловлен</w:t>
            </w:r>
            <w:r w:rsidR="00F255AE" w:rsidRPr="00F255AE">
              <w:rPr>
                <w:sz w:val="18"/>
                <w:szCs w:val="18"/>
              </w:rPr>
              <w:t xml:space="preserve"> значительными темпами роста по поступлению налога на прибыль от плательщиков Архангельской области </w:t>
            </w:r>
            <w:r w:rsidR="005B2BF0">
              <w:rPr>
                <w:sz w:val="18"/>
                <w:szCs w:val="18"/>
              </w:rPr>
              <w:br/>
            </w:r>
            <w:r w:rsidR="00F255AE" w:rsidRPr="00F255AE">
              <w:rPr>
                <w:sz w:val="18"/>
                <w:szCs w:val="18"/>
              </w:rPr>
              <w:t>в 2015 году</w:t>
            </w:r>
          </w:p>
        </w:tc>
      </w:tr>
      <w:tr w:rsidR="00C51C48" w:rsidRPr="00F255AE" w:rsidTr="00F1117C">
        <w:tc>
          <w:tcPr>
            <w:tcW w:w="9498" w:type="dxa"/>
            <w:gridSpan w:val="6"/>
            <w:shd w:val="clear" w:color="auto" w:fill="auto"/>
            <w:vAlign w:val="center"/>
            <w:hideMark/>
          </w:tcPr>
          <w:p w:rsidR="00C51C48" w:rsidRPr="00F255AE" w:rsidRDefault="00C51C48" w:rsidP="00F1117C">
            <w:pPr>
              <w:rPr>
                <w:sz w:val="18"/>
                <w:szCs w:val="18"/>
              </w:rPr>
            </w:pPr>
            <w:r w:rsidRPr="00C51C48">
              <w:rPr>
                <w:b/>
                <w:bCs/>
                <w:sz w:val="18"/>
                <w:szCs w:val="18"/>
              </w:rPr>
              <w:t>Денежные доходы и расходы населения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Средний размер </w:t>
            </w:r>
            <w:r w:rsidRPr="00F255AE">
              <w:rPr>
                <w:sz w:val="18"/>
                <w:szCs w:val="18"/>
              </w:rPr>
              <w:lastRenderedPageBreak/>
              <w:t>назначенных месячных пенсий пенсионеров, состоящих на учете в системе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15 699,7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16 840,6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7,3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Пересчёт показателя </w:t>
            </w:r>
            <w:r w:rsidRPr="00F255AE">
              <w:rPr>
                <w:sz w:val="18"/>
                <w:szCs w:val="18"/>
              </w:rPr>
              <w:lastRenderedPageBreak/>
              <w:t xml:space="preserve">обусловлен </w:t>
            </w:r>
            <w:r w:rsidR="00F255AE" w:rsidRPr="00F255AE">
              <w:rPr>
                <w:sz w:val="18"/>
                <w:szCs w:val="18"/>
              </w:rPr>
              <w:t>усилением</w:t>
            </w:r>
            <w:r w:rsidRPr="00F255AE">
              <w:rPr>
                <w:sz w:val="18"/>
                <w:szCs w:val="18"/>
              </w:rPr>
              <w:t xml:space="preserve"> инфляционной </w:t>
            </w:r>
            <w:r w:rsidR="00F255AE" w:rsidRPr="00F255AE">
              <w:rPr>
                <w:sz w:val="18"/>
                <w:szCs w:val="18"/>
              </w:rPr>
              <w:t>составляющей</w:t>
            </w:r>
            <w:r w:rsidR="009C435C">
              <w:rPr>
                <w:sz w:val="18"/>
                <w:szCs w:val="18"/>
              </w:rPr>
              <w:t>, уточнением данных о</w:t>
            </w:r>
            <w:r w:rsidR="009C435C" w:rsidRPr="009C435C">
              <w:rPr>
                <w:sz w:val="18"/>
                <w:szCs w:val="18"/>
              </w:rPr>
              <w:t xml:space="preserve">тделением Пенсионного фонда Российской Федерации </w:t>
            </w:r>
            <w:r w:rsidR="005B2BF0">
              <w:rPr>
                <w:sz w:val="18"/>
                <w:szCs w:val="18"/>
              </w:rPr>
              <w:br/>
            </w:r>
            <w:r w:rsidR="009C435C" w:rsidRPr="009C435C">
              <w:rPr>
                <w:sz w:val="18"/>
                <w:szCs w:val="18"/>
              </w:rPr>
              <w:t>по Архангельской области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lastRenderedPageBreak/>
              <w:t>Реальный размер назначенных пенсий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1105F4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color w:val="000000"/>
                <w:sz w:val="18"/>
                <w:szCs w:val="18"/>
              </w:rPr>
            </w:pPr>
            <w:r w:rsidRPr="00F255AE"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2,7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Численность пенсионеров, состоящих на учете </w:t>
            </w:r>
            <w:r w:rsidR="001E356C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в системе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419,0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418,0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-0,2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Численность населения </w:t>
            </w:r>
            <w:r w:rsidR="001E356C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с денежными доходами ниже прожиточного минимума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5B2BF0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%</w:t>
            </w:r>
            <w:r w:rsidR="008F7E10" w:rsidRPr="0068475A">
              <w:rPr>
                <w:spacing w:val="-4"/>
                <w:sz w:val="18"/>
                <w:szCs w:val="18"/>
              </w:rPr>
              <w:t xml:space="preserve"> ко всему населению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4,5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bCs/>
                <w:sz w:val="18"/>
                <w:szCs w:val="18"/>
              </w:rPr>
            </w:pPr>
            <w:r w:rsidRPr="00F255AE">
              <w:rPr>
                <w:bCs/>
                <w:sz w:val="18"/>
                <w:szCs w:val="18"/>
              </w:rPr>
              <w:t>Численность работников и занятость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color w:val="000000"/>
                <w:sz w:val="18"/>
                <w:szCs w:val="18"/>
              </w:rPr>
            </w:pPr>
            <w:r w:rsidRPr="00F255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Численность трудовых ресурсов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687,0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-0,2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F255AE">
              <w:rPr>
                <w:sz w:val="18"/>
                <w:szCs w:val="18"/>
              </w:rPr>
              <w:t>занятых</w:t>
            </w:r>
            <w:proofErr w:type="gramEnd"/>
            <w:r w:rsidRPr="00F255AE">
              <w:rPr>
                <w:sz w:val="18"/>
                <w:szCs w:val="18"/>
              </w:rPr>
              <w:t xml:space="preserve"> </w:t>
            </w:r>
            <w:r w:rsidR="001E356C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в экономике (среднегодовая)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558,5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-1,0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Уровень безработицы (по методологии МОТ)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5B2BF0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19,8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Показатель скорректирован и увязан с </w:t>
            </w:r>
            <w:r w:rsidR="009C435C">
              <w:rPr>
                <w:sz w:val="18"/>
                <w:szCs w:val="18"/>
              </w:rPr>
              <w:t xml:space="preserve">региональными и </w:t>
            </w:r>
            <w:r w:rsidRPr="00F255AE">
              <w:rPr>
                <w:sz w:val="18"/>
                <w:szCs w:val="18"/>
              </w:rPr>
              <w:t>общероссийскими тенденциями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5B2BF0" w:rsidP="00F1117C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0,3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Численность безработных, рассчитанная </w:t>
            </w:r>
            <w:r w:rsidRPr="00F255AE">
              <w:rPr>
                <w:sz w:val="18"/>
                <w:szCs w:val="18"/>
              </w:rPr>
              <w:br/>
              <w:t>по методологии МОТ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17,1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8F7E10" w:rsidRPr="00F255AE" w:rsidRDefault="009C435C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Показатель скорректирован и увязан с </w:t>
            </w:r>
            <w:r>
              <w:rPr>
                <w:sz w:val="18"/>
                <w:szCs w:val="18"/>
              </w:rPr>
              <w:t xml:space="preserve">региональными и </w:t>
            </w:r>
            <w:r w:rsidRPr="00F255AE">
              <w:rPr>
                <w:sz w:val="18"/>
                <w:szCs w:val="18"/>
              </w:rPr>
              <w:t>общероссийскими тенденциями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1E356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Численность безработных, зарегистрированных</w:t>
            </w:r>
            <w:r w:rsidR="001E356C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 xml:space="preserve"> в службах занятости </w:t>
            </w:r>
            <w:r w:rsidR="001E356C">
              <w:rPr>
                <w:sz w:val="18"/>
                <w:szCs w:val="18"/>
              </w:rPr>
              <w:br/>
            </w:r>
            <w:r w:rsidRPr="00F255AE">
              <w:rPr>
                <w:sz w:val="18"/>
                <w:szCs w:val="18"/>
              </w:rPr>
              <w:t>(на конец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-1,9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Среднесписочная численность работников </w:t>
            </w:r>
            <w:r w:rsidRPr="00F255AE">
              <w:rPr>
                <w:sz w:val="18"/>
                <w:szCs w:val="18"/>
              </w:rPr>
              <w:br/>
              <w:t>организаций -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тыс. человек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371,9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365,9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-1,6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Фонд начисленной заработной платы всех работников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млн.</w:t>
            </w:r>
            <w:r w:rsidR="009C435C">
              <w:rPr>
                <w:spacing w:val="-4"/>
                <w:sz w:val="18"/>
                <w:szCs w:val="18"/>
              </w:rPr>
              <w:t xml:space="preserve"> </w:t>
            </w:r>
            <w:r w:rsidRPr="0068475A">
              <w:rPr>
                <w:spacing w:val="-4"/>
                <w:sz w:val="18"/>
                <w:szCs w:val="18"/>
              </w:rPr>
              <w:t xml:space="preserve">рублей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180 816,5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160 442,3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-11,3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Пересчёт показателя обусловлен замедлением темпов роста заработной платы и сокращением численности работников</w:t>
            </w:r>
            <w:r w:rsidR="009C435C">
              <w:rPr>
                <w:sz w:val="18"/>
                <w:szCs w:val="18"/>
              </w:rPr>
              <w:t xml:space="preserve">. Показатель в разрезе муниципальных образований согласован </w:t>
            </w:r>
            <w:r w:rsidR="005B2BF0">
              <w:rPr>
                <w:sz w:val="18"/>
                <w:szCs w:val="18"/>
              </w:rPr>
              <w:br/>
            </w:r>
            <w:r w:rsidR="009C435C">
              <w:rPr>
                <w:sz w:val="18"/>
                <w:szCs w:val="18"/>
              </w:rPr>
              <w:t xml:space="preserve">с органами местного самоуправления и базируется на данных ключевых плательщиков налога на доходы физических лиц на соответствующей территории, </w:t>
            </w:r>
            <w:r w:rsidR="005B2BF0">
              <w:rPr>
                <w:sz w:val="18"/>
                <w:szCs w:val="18"/>
              </w:rPr>
              <w:t xml:space="preserve">на информации </w:t>
            </w:r>
            <w:r w:rsidR="009C435C">
              <w:rPr>
                <w:sz w:val="18"/>
                <w:szCs w:val="18"/>
              </w:rPr>
              <w:t xml:space="preserve">о структурных изменениях в федеральных органах </w:t>
            </w:r>
            <w:r w:rsidR="009C435C">
              <w:rPr>
                <w:sz w:val="18"/>
                <w:szCs w:val="18"/>
              </w:rPr>
              <w:lastRenderedPageBreak/>
              <w:t>власти, учреждениях социальной сферы, кредитных учреждениях и т.д.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lastRenderedPageBreak/>
              <w:t>Среднемесячная заработная плата одного работника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8F7E1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68475A">
              <w:rPr>
                <w:spacing w:val="-4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40 513,4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36 539,3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-9,8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Пересчёт показателя обусловлен замедлением темпов роста заработной платы по всем</w:t>
            </w:r>
            <w:r w:rsidR="009C435C">
              <w:rPr>
                <w:sz w:val="18"/>
                <w:szCs w:val="18"/>
              </w:rPr>
              <w:t xml:space="preserve"> основным</w:t>
            </w:r>
            <w:r w:rsidRPr="00F255AE">
              <w:rPr>
                <w:sz w:val="18"/>
                <w:szCs w:val="18"/>
              </w:rPr>
              <w:t xml:space="preserve"> видам экономической деятельности</w:t>
            </w:r>
          </w:p>
        </w:tc>
      </w:tr>
      <w:tr w:rsidR="008F7E10" w:rsidRPr="00F255AE" w:rsidTr="00F1117C"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то же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7E10" w:rsidRPr="0068475A" w:rsidRDefault="005B2BF0" w:rsidP="00F1117C">
            <w:pPr>
              <w:jc w:val="center"/>
              <w:rPr>
                <w:spacing w:val="-4"/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 </w:t>
            </w:r>
            <w:r>
              <w:rPr>
                <w:spacing w:val="-4"/>
                <w:sz w:val="18"/>
                <w:szCs w:val="18"/>
              </w:rPr>
              <w:t xml:space="preserve">% к </w:t>
            </w:r>
            <w:proofErr w:type="spellStart"/>
            <w:r>
              <w:rPr>
                <w:spacing w:val="-4"/>
                <w:sz w:val="18"/>
                <w:szCs w:val="18"/>
              </w:rPr>
              <w:t>предыдущ</w:t>
            </w:r>
            <w:proofErr w:type="spellEnd"/>
            <w:r>
              <w:rPr>
                <w:spacing w:val="-4"/>
                <w:sz w:val="18"/>
                <w:szCs w:val="18"/>
              </w:rPr>
              <w:t>. году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104,0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F7E10" w:rsidRPr="00F255AE" w:rsidRDefault="008F7E10" w:rsidP="00F1117C">
            <w:pPr>
              <w:jc w:val="center"/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>-5,3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E10" w:rsidRPr="00F255AE" w:rsidRDefault="008F7E10" w:rsidP="00F1117C">
            <w:pPr>
              <w:rPr>
                <w:sz w:val="18"/>
                <w:szCs w:val="18"/>
              </w:rPr>
            </w:pPr>
            <w:r w:rsidRPr="00F255AE">
              <w:rPr>
                <w:sz w:val="18"/>
                <w:szCs w:val="18"/>
              </w:rPr>
              <w:t xml:space="preserve">Пересчёт показателя обусловлен замедлением темпов роста заработной платы </w:t>
            </w:r>
            <w:r w:rsidR="009C435C">
              <w:rPr>
                <w:sz w:val="18"/>
                <w:szCs w:val="18"/>
              </w:rPr>
              <w:t>и</w:t>
            </w:r>
            <w:r w:rsidRPr="00F255AE">
              <w:rPr>
                <w:sz w:val="18"/>
                <w:szCs w:val="18"/>
              </w:rPr>
              <w:t xml:space="preserve"> усилени</w:t>
            </w:r>
            <w:r w:rsidR="009C435C">
              <w:rPr>
                <w:sz w:val="18"/>
                <w:szCs w:val="18"/>
              </w:rPr>
              <w:t>ем</w:t>
            </w:r>
            <w:r w:rsidRPr="00F255AE">
              <w:rPr>
                <w:sz w:val="18"/>
                <w:szCs w:val="18"/>
              </w:rPr>
              <w:t xml:space="preserve"> инфляционного давления</w:t>
            </w:r>
          </w:p>
        </w:tc>
      </w:tr>
    </w:tbl>
    <w:p w:rsidR="006D376B" w:rsidRPr="007B604B" w:rsidRDefault="006D376B" w:rsidP="006D376B"/>
    <w:sectPr w:rsidR="006D376B" w:rsidRPr="007B604B" w:rsidSect="00C03D84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3C" w:rsidRDefault="00147B3C" w:rsidP="00FF79E3">
      <w:r>
        <w:separator/>
      </w:r>
    </w:p>
  </w:endnote>
  <w:endnote w:type="continuationSeparator" w:id="0">
    <w:p w:rsidR="00147B3C" w:rsidRDefault="00147B3C" w:rsidP="00FF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3C" w:rsidRDefault="00147B3C" w:rsidP="00FF79E3">
      <w:r>
        <w:separator/>
      </w:r>
    </w:p>
  </w:footnote>
  <w:footnote w:type="continuationSeparator" w:id="0">
    <w:p w:rsidR="00147B3C" w:rsidRDefault="00147B3C" w:rsidP="00FF79E3">
      <w:r>
        <w:continuationSeparator/>
      </w:r>
    </w:p>
  </w:footnote>
  <w:footnote w:id="1">
    <w:p w:rsidR="0068475A" w:rsidRPr="00790A40" w:rsidRDefault="0068475A" w:rsidP="00790A40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A40">
        <w:rPr>
          <w:rStyle w:val="af0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790A40">
        <w:rPr>
          <w:rStyle w:val="af0"/>
          <w:rFonts w:ascii="Times New Roman" w:hAnsi="Times New Roman"/>
          <w:sz w:val="24"/>
          <w:szCs w:val="24"/>
          <w:vertAlign w:val="baseline"/>
        </w:rPr>
        <w:t>Данные не публикуются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Архангельскстатом</w:t>
      </w:r>
      <w:proofErr w:type="spellEnd"/>
      <w:r w:rsidRPr="00790A40">
        <w:rPr>
          <w:rStyle w:val="af0"/>
          <w:rFonts w:ascii="Times New Roman" w:hAnsi="Times New Roman"/>
          <w:sz w:val="24"/>
          <w:szCs w:val="24"/>
          <w:vertAlign w:val="baseline"/>
        </w:rPr>
        <w:t xml:space="preserve">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</w:t>
      </w:r>
    </w:p>
  </w:footnote>
  <w:footnote w:id="2">
    <w:p w:rsidR="0068475A" w:rsidRDefault="0068475A" w:rsidP="00790A40">
      <w:pPr>
        <w:pStyle w:val="ae"/>
        <w:jc w:val="both"/>
      </w:pPr>
      <w:r w:rsidRPr="00DE3C1E">
        <w:rPr>
          <w:rStyle w:val="af0"/>
          <w:rFonts w:ascii="Times New Roman" w:hAnsi="Times New Roman"/>
          <w:sz w:val="24"/>
        </w:rPr>
        <w:footnoteRef/>
      </w:r>
      <w:r>
        <w:t xml:space="preserve"> </w:t>
      </w:r>
      <w:r w:rsidRPr="00790A40">
        <w:rPr>
          <w:rStyle w:val="af0"/>
          <w:rFonts w:ascii="Times New Roman" w:hAnsi="Times New Roman"/>
          <w:sz w:val="24"/>
          <w:vertAlign w:val="baseline"/>
        </w:rPr>
        <w:t>Январь-июнь 2015 г., квартальный показатель.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825127"/>
      <w:docPartObj>
        <w:docPartGallery w:val="Page Numbers (Top of Page)"/>
        <w:docPartUnique/>
      </w:docPartObj>
    </w:sdtPr>
    <w:sdtContent>
      <w:p w:rsidR="0068475A" w:rsidRDefault="002E046D" w:rsidP="001F0856">
        <w:pPr>
          <w:pStyle w:val="af4"/>
          <w:jc w:val="center"/>
        </w:pPr>
        <w:r>
          <w:fldChar w:fldCharType="begin"/>
        </w:r>
        <w:r w:rsidR="0068475A">
          <w:instrText>PAGE   \* MERGEFORMAT</w:instrText>
        </w:r>
        <w:r>
          <w:fldChar w:fldCharType="separate"/>
        </w:r>
        <w:r w:rsidR="00DF778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665"/>
    <w:multiLevelType w:val="hybridMultilevel"/>
    <w:tmpl w:val="764824F2"/>
    <w:lvl w:ilvl="0" w:tplc="E03AA602">
      <w:start w:val="1"/>
      <w:numFmt w:val="bullet"/>
      <w:lvlText w:val="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B64882"/>
    <w:multiLevelType w:val="hybridMultilevel"/>
    <w:tmpl w:val="CCDCB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0C4788"/>
    <w:multiLevelType w:val="hybridMultilevel"/>
    <w:tmpl w:val="EC9247DC"/>
    <w:lvl w:ilvl="0" w:tplc="D8EA20D8">
      <w:start w:val="1"/>
      <w:numFmt w:val="bullet"/>
      <w:lvlText w:val=""/>
      <w:lvlJc w:val="left"/>
      <w:pPr>
        <w:ind w:left="1429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2A0A86"/>
    <w:multiLevelType w:val="hybridMultilevel"/>
    <w:tmpl w:val="A9FCD402"/>
    <w:lvl w:ilvl="0" w:tplc="58DA361E">
      <w:numFmt w:val="bullet"/>
      <w:lvlText w:val=""/>
      <w:lvlJc w:val="left"/>
      <w:pPr>
        <w:tabs>
          <w:tab w:val="num" w:pos="3424"/>
        </w:tabs>
        <w:ind w:left="3424" w:hanging="915"/>
      </w:pPr>
      <w:rPr>
        <w:rFonts w:ascii="Wingdings" w:hAnsi="Wingdings" w:cs="Times New Roman" w:hint="default"/>
        <w:sz w:val="18"/>
        <w:szCs w:val="18"/>
      </w:rPr>
    </w:lvl>
    <w:lvl w:ilvl="1" w:tplc="838E47AE">
      <w:numFmt w:val="bullet"/>
      <w:lvlText w:val=""/>
      <w:lvlJc w:val="left"/>
      <w:pPr>
        <w:tabs>
          <w:tab w:val="num" w:pos="1815"/>
        </w:tabs>
        <w:ind w:left="1815" w:hanging="915"/>
      </w:pPr>
      <w:rPr>
        <w:rFonts w:ascii="Wingdings" w:hAnsi="Wingdings" w:cs="Times New Roman" w:hint="default"/>
        <w:b/>
        <w:i w:val="0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71F3F63"/>
    <w:multiLevelType w:val="hybridMultilevel"/>
    <w:tmpl w:val="02C6CBDE"/>
    <w:lvl w:ilvl="0" w:tplc="5134C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10ACC"/>
    <w:rsid w:val="000037D0"/>
    <w:rsid w:val="00007BB7"/>
    <w:rsid w:val="00007C01"/>
    <w:rsid w:val="0001065D"/>
    <w:rsid w:val="00013E90"/>
    <w:rsid w:val="000158C0"/>
    <w:rsid w:val="00015E7A"/>
    <w:rsid w:val="00023866"/>
    <w:rsid w:val="00036593"/>
    <w:rsid w:val="00043C57"/>
    <w:rsid w:val="00045342"/>
    <w:rsid w:val="000551AB"/>
    <w:rsid w:val="00077D2C"/>
    <w:rsid w:val="000938E3"/>
    <w:rsid w:val="00095FFD"/>
    <w:rsid w:val="00096BB9"/>
    <w:rsid w:val="000A016E"/>
    <w:rsid w:val="000A54D7"/>
    <w:rsid w:val="000A65B7"/>
    <w:rsid w:val="000B10F4"/>
    <w:rsid w:val="000D25C3"/>
    <w:rsid w:val="000E4E18"/>
    <w:rsid w:val="001105F4"/>
    <w:rsid w:val="0012414D"/>
    <w:rsid w:val="00137E17"/>
    <w:rsid w:val="001411C4"/>
    <w:rsid w:val="00144231"/>
    <w:rsid w:val="00147B3C"/>
    <w:rsid w:val="00150EE2"/>
    <w:rsid w:val="001542DE"/>
    <w:rsid w:val="00162E06"/>
    <w:rsid w:val="00170566"/>
    <w:rsid w:val="00181B61"/>
    <w:rsid w:val="00187CEF"/>
    <w:rsid w:val="00192DF1"/>
    <w:rsid w:val="001A369A"/>
    <w:rsid w:val="001A6153"/>
    <w:rsid w:val="001A76FA"/>
    <w:rsid w:val="001B151C"/>
    <w:rsid w:val="001B29ED"/>
    <w:rsid w:val="001B3113"/>
    <w:rsid w:val="001B644F"/>
    <w:rsid w:val="001B762D"/>
    <w:rsid w:val="001C3210"/>
    <w:rsid w:val="001E356C"/>
    <w:rsid w:val="001F0856"/>
    <w:rsid w:val="001F2CA8"/>
    <w:rsid w:val="001F7070"/>
    <w:rsid w:val="0020073A"/>
    <w:rsid w:val="00203CA9"/>
    <w:rsid w:val="00224338"/>
    <w:rsid w:val="0023756E"/>
    <w:rsid w:val="002529DB"/>
    <w:rsid w:val="00252AA1"/>
    <w:rsid w:val="00255ECB"/>
    <w:rsid w:val="0025787C"/>
    <w:rsid w:val="00264136"/>
    <w:rsid w:val="00281B41"/>
    <w:rsid w:val="00282AB7"/>
    <w:rsid w:val="00283699"/>
    <w:rsid w:val="00296DA5"/>
    <w:rsid w:val="002976C5"/>
    <w:rsid w:val="002A458B"/>
    <w:rsid w:val="002A7AEE"/>
    <w:rsid w:val="002B61E0"/>
    <w:rsid w:val="002B6989"/>
    <w:rsid w:val="002D124D"/>
    <w:rsid w:val="002D4B4B"/>
    <w:rsid w:val="002D642D"/>
    <w:rsid w:val="002E046D"/>
    <w:rsid w:val="002F7F6C"/>
    <w:rsid w:val="00312524"/>
    <w:rsid w:val="00321EA6"/>
    <w:rsid w:val="00322035"/>
    <w:rsid w:val="003221D3"/>
    <w:rsid w:val="00323213"/>
    <w:rsid w:val="0032405B"/>
    <w:rsid w:val="003244B0"/>
    <w:rsid w:val="00341A6D"/>
    <w:rsid w:val="00353899"/>
    <w:rsid w:val="00380E44"/>
    <w:rsid w:val="00381EDF"/>
    <w:rsid w:val="003828EF"/>
    <w:rsid w:val="003879AE"/>
    <w:rsid w:val="00396097"/>
    <w:rsid w:val="003A28A1"/>
    <w:rsid w:val="003A6F6C"/>
    <w:rsid w:val="003D3A1F"/>
    <w:rsid w:val="003E3F2C"/>
    <w:rsid w:val="003F6AC4"/>
    <w:rsid w:val="00401E63"/>
    <w:rsid w:val="00404810"/>
    <w:rsid w:val="00404BE4"/>
    <w:rsid w:val="004074B5"/>
    <w:rsid w:val="00410B88"/>
    <w:rsid w:val="004218D0"/>
    <w:rsid w:val="004432C6"/>
    <w:rsid w:val="004474A5"/>
    <w:rsid w:val="004574FB"/>
    <w:rsid w:val="004578AA"/>
    <w:rsid w:val="00464AE0"/>
    <w:rsid w:val="00465193"/>
    <w:rsid w:val="00470B7F"/>
    <w:rsid w:val="004714DD"/>
    <w:rsid w:val="00472D58"/>
    <w:rsid w:val="00477B2F"/>
    <w:rsid w:val="00481DDA"/>
    <w:rsid w:val="0048336E"/>
    <w:rsid w:val="00484F3D"/>
    <w:rsid w:val="00485FDC"/>
    <w:rsid w:val="004B12C9"/>
    <w:rsid w:val="004B4C01"/>
    <w:rsid w:val="004C3BFC"/>
    <w:rsid w:val="004D03E6"/>
    <w:rsid w:val="004D367B"/>
    <w:rsid w:val="004D4221"/>
    <w:rsid w:val="004D5BF5"/>
    <w:rsid w:val="004E5AC2"/>
    <w:rsid w:val="004F1D18"/>
    <w:rsid w:val="005024EF"/>
    <w:rsid w:val="0050492F"/>
    <w:rsid w:val="00507B39"/>
    <w:rsid w:val="005168F1"/>
    <w:rsid w:val="00520291"/>
    <w:rsid w:val="005346BA"/>
    <w:rsid w:val="00536A36"/>
    <w:rsid w:val="00563542"/>
    <w:rsid w:val="00567923"/>
    <w:rsid w:val="0057022C"/>
    <w:rsid w:val="00581805"/>
    <w:rsid w:val="00585E2B"/>
    <w:rsid w:val="00591376"/>
    <w:rsid w:val="005A0164"/>
    <w:rsid w:val="005A6AE7"/>
    <w:rsid w:val="005B2AB2"/>
    <w:rsid w:val="005B2BF0"/>
    <w:rsid w:val="005B4747"/>
    <w:rsid w:val="005B50C7"/>
    <w:rsid w:val="005C27EF"/>
    <w:rsid w:val="005C6BD4"/>
    <w:rsid w:val="005D3577"/>
    <w:rsid w:val="005D58EE"/>
    <w:rsid w:val="005E1189"/>
    <w:rsid w:val="005E2660"/>
    <w:rsid w:val="005E6EF8"/>
    <w:rsid w:val="006079B6"/>
    <w:rsid w:val="00607E08"/>
    <w:rsid w:val="006126CC"/>
    <w:rsid w:val="00616171"/>
    <w:rsid w:val="00625554"/>
    <w:rsid w:val="00645B17"/>
    <w:rsid w:val="00655918"/>
    <w:rsid w:val="0067340B"/>
    <w:rsid w:val="00680ACB"/>
    <w:rsid w:val="0068475A"/>
    <w:rsid w:val="00696686"/>
    <w:rsid w:val="00696F54"/>
    <w:rsid w:val="006A1F53"/>
    <w:rsid w:val="006A574F"/>
    <w:rsid w:val="006A583F"/>
    <w:rsid w:val="006A6058"/>
    <w:rsid w:val="006B1975"/>
    <w:rsid w:val="006B3411"/>
    <w:rsid w:val="006B4C29"/>
    <w:rsid w:val="006C7BF4"/>
    <w:rsid w:val="006D0132"/>
    <w:rsid w:val="006D376B"/>
    <w:rsid w:val="006D570E"/>
    <w:rsid w:val="006E184B"/>
    <w:rsid w:val="006F0154"/>
    <w:rsid w:val="006F2DCB"/>
    <w:rsid w:val="006F7339"/>
    <w:rsid w:val="0070730B"/>
    <w:rsid w:val="00713BB8"/>
    <w:rsid w:val="00715D99"/>
    <w:rsid w:val="00723E4F"/>
    <w:rsid w:val="00730A52"/>
    <w:rsid w:val="007321CF"/>
    <w:rsid w:val="007437A9"/>
    <w:rsid w:val="0074717C"/>
    <w:rsid w:val="007532CF"/>
    <w:rsid w:val="007569CF"/>
    <w:rsid w:val="00757027"/>
    <w:rsid w:val="00762D1D"/>
    <w:rsid w:val="00764A92"/>
    <w:rsid w:val="00766E48"/>
    <w:rsid w:val="00783340"/>
    <w:rsid w:val="00790A40"/>
    <w:rsid w:val="00792B13"/>
    <w:rsid w:val="007A241E"/>
    <w:rsid w:val="007A3940"/>
    <w:rsid w:val="007B2AEB"/>
    <w:rsid w:val="007B43EC"/>
    <w:rsid w:val="007B604B"/>
    <w:rsid w:val="007E273D"/>
    <w:rsid w:val="007F00BB"/>
    <w:rsid w:val="007F1F7B"/>
    <w:rsid w:val="00804C4E"/>
    <w:rsid w:val="00806763"/>
    <w:rsid w:val="00820844"/>
    <w:rsid w:val="00827004"/>
    <w:rsid w:val="00840381"/>
    <w:rsid w:val="008476C6"/>
    <w:rsid w:val="0085406F"/>
    <w:rsid w:val="00861FF7"/>
    <w:rsid w:val="0086259B"/>
    <w:rsid w:val="00865DC9"/>
    <w:rsid w:val="00867C35"/>
    <w:rsid w:val="0087400E"/>
    <w:rsid w:val="008822E8"/>
    <w:rsid w:val="00885CDA"/>
    <w:rsid w:val="00890781"/>
    <w:rsid w:val="008A3403"/>
    <w:rsid w:val="008B44DF"/>
    <w:rsid w:val="008C0FF0"/>
    <w:rsid w:val="008C3851"/>
    <w:rsid w:val="008D76F2"/>
    <w:rsid w:val="008F7E10"/>
    <w:rsid w:val="0090319B"/>
    <w:rsid w:val="0090706B"/>
    <w:rsid w:val="00910ACC"/>
    <w:rsid w:val="0091462C"/>
    <w:rsid w:val="00941D35"/>
    <w:rsid w:val="00943D86"/>
    <w:rsid w:val="00945753"/>
    <w:rsid w:val="00950A17"/>
    <w:rsid w:val="00956A61"/>
    <w:rsid w:val="00957ACD"/>
    <w:rsid w:val="0096196F"/>
    <w:rsid w:val="00962557"/>
    <w:rsid w:val="009674EE"/>
    <w:rsid w:val="00970E64"/>
    <w:rsid w:val="00973DBC"/>
    <w:rsid w:val="00984B1E"/>
    <w:rsid w:val="009909A8"/>
    <w:rsid w:val="009A5C5F"/>
    <w:rsid w:val="009C2B9D"/>
    <w:rsid w:val="009C435C"/>
    <w:rsid w:val="009D0760"/>
    <w:rsid w:val="009D3ECD"/>
    <w:rsid w:val="009D6B20"/>
    <w:rsid w:val="009E3E0D"/>
    <w:rsid w:val="009E6590"/>
    <w:rsid w:val="00A072DE"/>
    <w:rsid w:val="00A1439A"/>
    <w:rsid w:val="00A22D1D"/>
    <w:rsid w:val="00A264F9"/>
    <w:rsid w:val="00A271EC"/>
    <w:rsid w:val="00A30347"/>
    <w:rsid w:val="00A3561B"/>
    <w:rsid w:val="00A4044F"/>
    <w:rsid w:val="00A4546D"/>
    <w:rsid w:val="00A6186A"/>
    <w:rsid w:val="00A71139"/>
    <w:rsid w:val="00A73409"/>
    <w:rsid w:val="00A73713"/>
    <w:rsid w:val="00A8370C"/>
    <w:rsid w:val="00A87190"/>
    <w:rsid w:val="00AA57EB"/>
    <w:rsid w:val="00AA679B"/>
    <w:rsid w:val="00AC0CAD"/>
    <w:rsid w:val="00AD02D5"/>
    <w:rsid w:val="00AE015C"/>
    <w:rsid w:val="00AE1C7C"/>
    <w:rsid w:val="00AE5E67"/>
    <w:rsid w:val="00B10BB9"/>
    <w:rsid w:val="00B14FB7"/>
    <w:rsid w:val="00B20A0A"/>
    <w:rsid w:val="00B35BF7"/>
    <w:rsid w:val="00B37593"/>
    <w:rsid w:val="00B4307F"/>
    <w:rsid w:val="00B445F6"/>
    <w:rsid w:val="00B50198"/>
    <w:rsid w:val="00B50854"/>
    <w:rsid w:val="00B509C9"/>
    <w:rsid w:val="00B64FA3"/>
    <w:rsid w:val="00B84245"/>
    <w:rsid w:val="00B917BE"/>
    <w:rsid w:val="00B91ACD"/>
    <w:rsid w:val="00B9590B"/>
    <w:rsid w:val="00BA0A87"/>
    <w:rsid w:val="00BA1BC6"/>
    <w:rsid w:val="00BA5F79"/>
    <w:rsid w:val="00BA7F3C"/>
    <w:rsid w:val="00BD335B"/>
    <w:rsid w:val="00BE0031"/>
    <w:rsid w:val="00BE1238"/>
    <w:rsid w:val="00BE59D4"/>
    <w:rsid w:val="00BF15AC"/>
    <w:rsid w:val="00C03D84"/>
    <w:rsid w:val="00C1510A"/>
    <w:rsid w:val="00C20033"/>
    <w:rsid w:val="00C21AB5"/>
    <w:rsid w:val="00C22BE5"/>
    <w:rsid w:val="00C30F1B"/>
    <w:rsid w:val="00C330DF"/>
    <w:rsid w:val="00C353FE"/>
    <w:rsid w:val="00C35D0C"/>
    <w:rsid w:val="00C35DB8"/>
    <w:rsid w:val="00C50961"/>
    <w:rsid w:val="00C51C48"/>
    <w:rsid w:val="00C66CFB"/>
    <w:rsid w:val="00C73CD3"/>
    <w:rsid w:val="00C844C7"/>
    <w:rsid w:val="00CA08B0"/>
    <w:rsid w:val="00CA0F6E"/>
    <w:rsid w:val="00CA4CC3"/>
    <w:rsid w:val="00CA5F49"/>
    <w:rsid w:val="00CC2E80"/>
    <w:rsid w:val="00CC4DF4"/>
    <w:rsid w:val="00CC6D23"/>
    <w:rsid w:val="00CF1459"/>
    <w:rsid w:val="00CF4B50"/>
    <w:rsid w:val="00D019AA"/>
    <w:rsid w:val="00D073A2"/>
    <w:rsid w:val="00D07443"/>
    <w:rsid w:val="00D25F47"/>
    <w:rsid w:val="00D26B42"/>
    <w:rsid w:val="00D3197C"/>
    <w:rsid w:val="00D31E80"/>
    <w:rsid w:val="00D32168"/>
    <w:rsid w:val="00D41610"/>
    <w:rsid w:val="00D60372"/>
    <w:rsid w:val="00D6373B"/>
    <w:rsid w:val="00D755E1"/>
    <w:rsid w:val="00D82967"/>
    <w:rsid w:val="00D82D7D"/>
    <w:rsid w:val="00D83E29"/>
    <w:rsid w:val="00D868AC"/>
    <w:rsid w:val="00D94221"/>
    <w:rsid w:val="00DA5B89"/>
    <w:rsid w:val="00DA7D61"/>
    <w:rsid w:val="00DC30FE"/>
    <w:rsid w:val="00DC3B03"/>
    <w:rsid w:val="00DE00B6"/>
    <w:rsid w:val="00DE3C1E"/>
    <w:rsid w:val="00DF6E91"/>
    <w:rsid w:val="00DF7788"/>
    <w:rsid w:val="00E11115"/>
    <w:rsid w:val="00E11BCF"/>
    <w:rsid w:val="00E171AF"/>
    <w:rsid w:val="00E20A26"/>
    <w:rsid w:val="00E23BCC"/>
    <w:rsid w:val="00E434BA"/>
    <w:rsid w:val="00E46F77"/>
    <w:rsid w:val="00E577F9"/>
    <w:rsid w:val="00E62FCE"/>
    <w:rsid w:val="00E750E3"/>
    <w:rsid w:val="00E7614A"/>
    <w:rsid w:val="00E76F71"/>
    <w:rsid w:val="00E84F6F"/>
    <w:rsid w:val="00E870D8"/>
    <w:rsid w:val="00E939FD"/>
    <w:rsid w:val="00E93C6F"/>
    <w:rsid w:val="00EB5C59"/>
    <w:rsid w:val="00EE05C5"/>
    <w:rsid w:val="00EE4308"/>
    <w:rsid w:val="00EE587F"/>
    <w:rsid w:val="00EF0CF8"/>
    <w:rsid w:val="00EF2328"/>
    <w:rsid w:val="00F05343"/>
    <w:rsid w:val="00F1117C"/>
    <w:rsid w:val="00F1709E"/>
    <w:rsid w:val="00F21468"/>
    <w:rsid w:val="00F24514"/>
    <w:rsid w:val="00F255AE"/>
    <w:rsid w:val="00F339C5"/>
    <w:rsid w:val="00F41303"/>
    <w:rsid w:val="00F4210E"/>
    <w:rsid w:val="00F60CEA"/>
    <w:rsid w:val="00F65B7B"/>
    <w:rsid w:val="00F66A6F"/>
    <w:rsid w:val="00F726C4"/>
    <w:rsid w:val="00FA4C98"/>
    <w:rsid w:val="00FA6F1D"/>
    <w:rsid w:val="00FB37A4"/>
    <w:rsid w:val="00FB50AB"/>
    <w:rsid w:val="00FC6996"/>
    <w:rsid w:val="00FC6EB4"/>
    <w:rsid w:val="00FC7B3C"/>
    <w:rsid w:val="00FD103C"/>
    <w:rsid w:val="00FD1DE2"/>
    <w:rsid w:val="00FE49FB"/>
    <w:rsid w:val="00FF0F97"/>
    <w:rsid w:val="00F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139"/>
    <w:pPr>
      <w:keepNext/>
      <w:keepLines/>
      <w:spacing w:before="240" w:after="60" w:line="288" w:lineRule="auto"/>
      <w:ind w:firstLine="709"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1376"/>
    <w:pPr>
      <w:keepNext/>
      <w:keepLines/>
      <w:spacing w:before="60" w:after="60"/>
      <w:ind w:firstLine="709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1139"/>
    <w:pPr>
      <w:keepNext/>
      <w:keepLines/>
      <w:spacing w:before="120" w:after="20"/>
      <w:ind w:firstLine="709"/>
      <w:outlineLvl w:val="2"/>
    </w:pPr>
    <w:rPr>
      <w:rFonts w:eastAsiaTheme="majorEastAsia" w:cstheme="majorBidi"/>
      <w:b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0A54D7"/>
    <w:pPr>
      <w:keepNext/>
      <w:keepLines/>
      <w:spacing w:before="120" w:after="60"/>
      <w:ind w:firstLine="709"/>
      <w:outlineLvl w:val="3"/>
    </w:pPr>
    <w:rPr>
      <w:rFonts w:eastAsiaTheme="majorEastAsia" w:cstheme="majorBidi"/>
      <w:b/>
      <w:bCs/>
      <w:i/>
      <w:iCs/>
    </w:rPr>
  </w:style>
  <w:style w:type="paragraph" w:styleId="9">
    <w:name w:val="heading 9"/>
    <w:basedOn w:val="a"/>
    <w:next w:val="a"/>
    <w:link w:val="90"/>
    <w:qFormat/>
    <w:rsid w:val="005D58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10ACC"/>
    <w:pPr>
      <w:ind w:firstLine="360"/>
    </w:pPr>
  </w:style>
  <w:style w:type="character" w:customStyle="1" w:styleId="a4">
    <w:name w:val="Основной текст с отступом Знак"/>
    <w:basedOn w:val="a0"/>
    <w:link w:val="a3"/>
    <w:rsid w:val="0091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A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139"/>
    <w:rPr>
      <w:rFonts w:ascii="Times New Roman" w:eastAsiaTheme="majorEastAsia" w:hAnsi="Times New Roman" w:cstheme="majorBidi"/>
      <w:b/>
      <w:bCs/>
      <w:color w:val="000000" w:themeColor="text1"/>
      <w:sz w:val="26"/>
      <w:szCs w:val="28"/>
      <w:lang w:eastAsia="ru-RU"/>
    </w:rPr>
  </w:style>
  <w:style w:type="paragraph" w:customStyle="1" w:styleId="a5">
    <w:name w:val="Текст (лев)"/>
    <w:link w:val="a6"/>
    <w:rsid w:val="00820844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820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(лев) Знак"/>
    <w:basedOn w:val="a0"/>
    <w:link w:val="a5"/>
    <w:rsid w:val="0082084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rmal (Web)"/>
    <w:basedOn w:val="a"/>
    <w:rsid w:val="00C353FE"/>
    <w:pPr>
      <w:spacing w:before="100" w:beforeAutospacing="1" w:after="100" w:afterAutospacing="1"/>
      <w:ind w:firstLine="12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917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7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5D58E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D5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5D58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D58E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5D58EE"/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376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139"/>
    <w:rPr>
      <w:rFonts w:ascii="Times New Roman" w:eastAsiaTheme="majorEastAsia" w:hAnsi="Times New Roman" w:cstheme="majorBidi"/>
      <w:b/>
      <w:bCs/>
      <w:i/>
      <w:sz w:val="24"/>
      <w:szCs w:val="24"/>
      <w:lang w:eastAsia="ru-RU"/>
    </w:rPr>
  </w:style>
  <w:style w:type="table" w:styleId="ac">
    <w:name w:val="Table Grid"/>
    <w:basedOn w:val="a1"/>
    <w:uiPriority w:val="59"/>
    <w:rsid w:val="008C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 табл"/>
    <w:rsid w:val="00FF79E3"/>
    <w:rPr>
      <w:rFonts w:ascii="Arial" w:hAnsi="Arial"/>
      <w:noProof w:val="0"/>
      <w:sz w:val="16"/>
      <w:lang w:val="ru-RU"/>
    </w:rPr>
  </w:style>
  <w:style w:type="paragraph" w:styleId="ae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f"/>
    <w:unhideWhenUsed/>
    <w:rsid w:val="00FF79E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0"/>
    <w:link w:val="ae"/>
    <w:rsid w:val="00FF79E3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semiHidden/>
    <w:unhideWhenUsed/>
    <w:rsid w:val="00FF79E3"/>
    <w:rPr>
      <w:vertAlign w:val="superscript"/>
    </w:rPr>
  </w:style>
  <w:style w:type="paragraph" w:customStyle="1" w:styleId="23">
    <w:name w:val="сновной текст с отступом 2"/>
    <w:basedOn w:val="a"/>
    <w:rsid w:val="00FF79E3"/>
    <w:pPr>
      <w:widowControl w:val="0"/>
      <w:ind w:firstLine="720"/>
      <w:jc w:val="both"/>
    </w:pPr>
    <w:rPr>
      <w:sz w:val="26"/>
      <w:szCs w:val="20"/>
    </w:rPr>
  </w:style>
  <w:style w:type="paragraph" w:customStyle="1" w:styleId="xl74">
    <w:name w:val="xl74"/>
    <w:basedOn w:val="a"/>
    <w:rsid w:val="00FF79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 CYR" w:eastAsia="Arial Unicode MS" w:hAnsi="Times New Roman CYR" w:cs="GaramondC"/>
      <w:sz w:val="18"/>
      <w:szCs w:val="18"/>
    </w:rPr>
  </w:style>
  <w:style w:type="paragraph" w:styleId="af1">
    <w:name w:val="List Paragraph"/>
    <w:basedOn w:val="a"/>
    <w:uiPriority w:val="34"/>
    <w:qFormat/>
    <w:rsid w:val="00FF79E3"/>
    <w:pPr>
      <w:ind w:left="720"/>
      <w:contextualSpacing/>
    </w:pPr>
  </w:style>
  <w:style w:type="paragraph" w:styleId="af2">
    <w:name w:val="Document Map"/>
    <w:basedOn w:val="a"/>
    <w:link w:val="af3"/>
    <w:uiPriority w:val="99"/>
    <w:semiHidden/>
    <w:unhideWhenUsed/>
    <w:rsid w:val="00EF2328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EF2328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F232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F2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54D7"/>
    <w:rPr>
      <w:rFonts w:ascii="Times New Roman" w:eastAsiaTheme="majorEastAsia" w:hAnsi="Times New Roman" w:cstheme="majorBidi"/>
      <w:b/>
      <w:bCs/>
      <w:i/>
      <w:iCs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0A54D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A54D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"/>
    <w:rsid w:val="00715D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endnote text"/>
    <w:basedOn w:val="a"/>
    <w:link w:val="afa"/>
    <w:uiPriority w:val="99"/>
    <w:semiHidden/>
    <w:unhideWhenUsed/>
    <w:rsid w:val="00043C5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43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043C57"/>
    <w:rPr>
      <w:vertAlign w:val="superscript"/>
    </w:rPr>
  </w:style>
  <w:style w:type="paragraph" w:customStyle="1" w:styleId="11">
    <w:name w:val="Знак1"/>
    <w:basedOn w:val="a"/>
    <w:rsid w:val="00970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F66A6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66A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6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EA11-BBD5-4972-A86A-C6596BD6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8349</Words>
  <Characters>47593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med_arh</Company>
  <LinksUpToDate>false</LinksUpToDate>
  <CharactersWithSpaces>55831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Меркулова Валентина Александровна</dc:creator>
  <cp:lastModifiedBy>User</cp:lastModifiedBy>
  <cp:revision>3</cp:revision>
  <cp:lastPrinted>2015-10-29T10:51:00Z</cp:lastPrinted>
  <dcterms:created xsi:type="dcterms:W3CDTF">2015-11-06T15:04:00Z</dcterms:created>
  <dcterms:modified xsi:type="dcterms:W3CDTF">2015-11-09T17:02:00Z</dcterms:modified>
</cp:coreProperties>
</file>