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B6472B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F8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8065E" w:rsidTr="00F8065E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</w:tr>
      <w:tr w:rsidR="00F8065E" w:rsidTr="00F8065E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B6472B" w:rsidRDefault="00B64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B6472B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B6472B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2 062 174,8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2 154 028,4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135 535,7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121 592,2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117 285,6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114 748,2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50 866,3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1 273 498,4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1 366 622,6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1 165 883,0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1 266 007,2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1 264 185,1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1 264 185,1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450 463,6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6 513 726,0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6 502 604,0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117 289,7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56 958,5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6 292 128,0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6 282 128,0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3 216 207,2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3 135 156,8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2 987 986,6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3 058 681,2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2 977 630,8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3 146 971,2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3 146 971,2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121 901,0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3 025 070,2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1 027 458,6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1 026 451,3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963 741,1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505 046,8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231 141,1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12 150 438,9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12 148 252,4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12 068 309,7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12 066 123,2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8 592 915,1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8 587 724,5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8 585 538,0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45 924,7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8 074 922,4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762 058,8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616 825,6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616 641,5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578 714,8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577 319,4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537 850,4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27 686,2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483 418,4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484 918,4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433 746,1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17 668 807,6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17 667 721,1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16 453 696,0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16 465 609,5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707 622,7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701 407,7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501 284,3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1 206 220,8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1 193 220,8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668 354,5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759 366,5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699 325,5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697 131,5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697 131,5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642 060,0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48 023,1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5 537 460,0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5 466 689,2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795 332,0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794 873,2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B6472B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B6472B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B6472B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B6472B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39 386,9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11 536 176,5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11 570 856,2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440 460,7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436 115,7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10 780 423,8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10 825 190,0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6 940 053,9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7 001 616,8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6 539 491,1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6 588 124,0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6 528 056,3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6 576 689,2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581 275,7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162 621,9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1 615 415,0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1 615 415,0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64 803,7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38 691,4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26 112,3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1 085 664,2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1 085 388,9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1 075 064,8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202 355,0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202 355,0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686 121,0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-3 160,5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682 960,5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501 117,9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497 957,4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209 820,3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206 704,3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187 664,0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187 664,0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179 528,8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286 942,6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250 620,2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242 127,7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183 849,6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138 015,5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137 665,5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-30 945,6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72 738,2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инженерно-технического обследования строительных конструкций зданий жилищного фонда поселка Соловецкий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53 238,9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92 021,4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92 021,4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46 237,7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44 048,7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44 048,7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286 728,0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168 122,5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26 733,6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23 417,1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23 417,1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11 446,4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B6472B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B6472B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B6472B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B6472B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472B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6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6472B" w:rsidRDefault="00BA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</w:tr>
    </w:tbl>
    <w:p w:rsidR="00BA4008" w:rsidRDefault="00BA4008"/>
    <w:sectPr w:rsidR="00BA4008" w:rsidSect="00B6472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0C" w:rsidRDefault="00265B0C" w:rsidP="001437AA">
      <w:pPr>
        <w:spacing w:after="0" w:line="240" w:lineRule="auto"/>
      </w:pPr>
      <w:r>
        <w:separator/>
      </w:r>
    </w:p>
  </w:endnote>
  <w:endnote w:type="continuationSeparator" w:id="0">
    <w:p w:rsidR="00265B0C" w:rsidRDefault="00265B0C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B" w:rsidRDefault="00B6472B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A400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8065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0C" w:rsidRDefault="00265B0C" w:rsidP="001437AA">
      <w:pPr>
        <w:spacing w:after="0" w:line="240" w:lineRule="auto"/>
      </w:pPr>
      <w:r>
        <w:separator/>
      </w:r>
    </w:p>
  </w:footnote>
  <w:footnote w:type="continuationSeparator" w:id="0">
    <w:p w:rsidR="00265B0C" w:rsidRDefault="00265B0C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95F"/>
    <w:rsid w:val="001D395F"/>
    <w:rsid w:val="00265B0C"/>
    <w:rsid w:val="00B6472B"/>
    <w:rsid w:val="00BA4008"/>
    <w:rsid w:val="00F8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44778</Words>
  <Characters>255241</Characters>
  <Application>Microsoft Office Word</Application>
  <DocSecurity>0</DocSecurity>
  <Lines>2127</Lines>
  <Paragraphs>598</Paragraphs>
  <ScaleCrop>false</ScaleCrop>
  <Company/>
  <LinksUpToDate>false</LinksUpToDate>
  <CharactersWithSpaces>299421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15:35:58</dc:subject>
  <dc:creator>Keysystems.DWH.ReportDesigner</dc:creator>
  <cp:lastModifiedBy>Ленин</cp:lastModifiedBy>
  <cp:revision>4</cp:revision>
  <dcterms:created xsi:type="dcterms:W3CDTF">2016-11-14T12:14:00Z</dcterms:created>
  <dcterms:modified xsi:type="dcterms:W3CDTF">2016-11-14T12:23:00Z</dcterms:modified>
</cp:coreProperties>
</file>